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BA6B3">
      <w:pPr>
        <w:tabs>
          <w:tab w:val="left" w:pos="3518"/>
        </w:tabs>
        <w:spacing w:before="191" w:line="166" w:lineRule="auto"/>
        <w:jc w:val="center"/>
        <w:rPr>
          <w:rFonts w:ascii="Malgun Gothic" w:hAnsi="Malgun Gothic" w:eastAsia="Malgun Gothic" w:cs="Malgun Gothic"/>
          <w:b/>
          <w:bCs/>
          <w:sz w:val="44"/>
          <w:szCs w:val="44"/>
        </w:rPr>
      </w:pPr>
      <w:r>
        <w:rPr>
          <w:rFonts w:hint="eastAsia" w:ascii="Microsoft JhengHei" w:hAnsi="Microsoft JhengHei" w:eastAsia="Microsoft JhengHei" w:cs="Microsoft JhengHei"/>
          <w:b/>
          <w:bCs/>
          <w:spacing w:val="-2"/>
          <w:sz w:val="44"/>
          <w:szCs w:val="44"/>
          <w:lang w:eastAsia="zh-CN"/>
        </w:rPr>
        <w:t>策勒县</w:t>
      </w:r>
      <w:r>
        <w:rPr>
          <w:rFonts w:ascii="Malgun Gothic" w:hAnsi="Malgun Gothic" w:eastAsia="Malgun Gothic" w:cs="Malgun Gothic"/>
          <w:b/>
          <w:bCs/>
          <w:spacing w:val="-2"/>
          <w:sz w:val="44"/>
          <w:szCs w:val="44"/>
        </w:rPr>
        <w:t>市</w:t>
      </w:r>
      <w:r>
        <w:rPr>
          <w:rFonts w:ascii="Microsoft JhengHei" w:hAnsi="Microsoft JhengHei" w:eastAsia="Microsoft JhengHei" w:cs="Microsoft JhengHei"/>
          <w:b/>
          <w:bCs/>
          <w:spacing w:val="-2"/>
          <w:sz w:val="44"/>
          <w:szCs w:val="44"/>
        </w:rPr>
        <w:t>场监</w:t>
      </w:r>
      <w:r>
        <w:rPr>
          <w:rFonts w:ascii="Malgun Gothic" w:hAnsi="Malgun Gothic" w:eastAsia="Malgun Gothic" w:cs="Malgun Gothic"/>
          <w:b/>
          <w:bCs/>
          <w:spacing w:val="-2"/>
          <w:sz w:val="44"/>
          <w:szCs w:val="44"/>
        </w:rPr>
        <w:t>督管理局</w:t>
      </w:r>
    </w:p>
    <w:p w14:paraId="5A5D4EC8">
      <w:pPr>
        <w:spacing w:before="2" w:line="204" w:lineRule="auto"/>
        <w:jc w:val="center"/>
        <w:rPr>
          <w:rFonts w:ascii="Microsoft JhengHei" w:hAnsi="Microsoft JhengHei" w:eastAsia="Microsoft JhengHei" w:cs="Microsoft JhengHei"/>
          <w:b/>
          <w:bCs/>
          <w:sz w:val="44"/>
          <w:szCs w:val="44"/>
        </w:rPr>
      </w:pPr>
      <w:r>
        <w:rPr>
          <w:rFonts w:ascii="Malgun Gothic" w:hAnsi="Malgun Gothic" w:eastAsia="Malgun Gothic" w:cs="Malgun Gothic"/>
          <w:b/>
          <w:bCs/>
          <w:spacing w:val="-2"/>
          <w:sz w:val="44"/>
          <w:szCs w:val="44"/>
        </w:rPr>
        <w:t>行政</w:t>
      </w:r>
      <w:r>
        <w:rPr>
          <w:rFonts w:hint="eastAsia" w:ascii="Microsoft JhengHei" w:hAnsi="Microsoft JhengHei" w:eastAsia="宋体" w:cs="Microsoft JhengHei"/>
          <w:b/>
          <w:bCs/>
          <w:spacing w:val="-2"/>
          <w:sz w:val="44"/>
          <w:szCs w:val="44"/>
          <w:lang w:val="en-US" w:eastAsia="zh-CN"/>
        </w:rPr>
        <w:t>处</w:t>
      </w:r>
      <w:r>
        <w:rPr>
          <w:rFonts w:ascii="Microsoft JhengHei" w:hAnsi="Microsoft JhengHei" w:eastAsia="Microsoft JhengHei" w:cs="Microsoft JhengHei"/>
          <w:b/>
          <w:bCs/>
          <w:spacing w:val="-2"/>
          <w:sz w:val="44"/>
          <w:szCs w:val="44"/>
        </w:rPr>
        <w:t>罚决</w:t>
      </w:r>
      <w:r>
        <w:rPr>
          <w:rFonts w:ascii="Malgun Gothic" w:hAnsi="Malgun Gothic" w:eastAsia="Malgun Gothic" w:cs="Malgun Gothic"/>
          <w:b/>
          <w:bCs/>
          <w:spacing w:val="-2"/>
          <w:sz w:val="44"/>
          <w:szCs w:val="44"/>
        </w:rPr>
        <w:t>定</w:t>
      </w:r>
      <w:r>
        <w:rPr>
          <w:rFonts w:ascii="Microsoft JhengHei" w:hAnsi="Microsoft JhengHei" w:eastAsia="Microsoft JhengHei" w:cs="Microsoft JhengHei"/>
          <w:b/>
          <w:bCs/>
          <w:spacing w:val="-2"/>
          <w:sz w:val="44"/>
          <w:szCs w:val="44"/>
        </w:rPr>
        <w:t>书</w:t>
      </w:r>
    </w:p>
    <w:p w14:paraId="4A8A02E3">
      <w:pPr>
        <w:tabs>
          <w:tab w:val="left" w:pos="2725"/>
        </w:tabs>
        <w:spacing w:before="31" w:line="185" w:lineRule="auto"/>
        <w:ind w:firstLine="2219"/>
        <w:rPr>
          <w:rFonts w:ascii="仿宋" w:hAnsi="仿宋" w:eastAsia="仿宋" w:cs="仿宋"/>
          <w:sz w:val="32"/>
          <w:szCs w:val="32"/>
        </w:rPr>
      </w:pPr>
      <w:r>
        <w:rPr>
          <w:rFonts w:hint="eastAsia" w:ascii="仿宋" w:hAnsi="仿宋" w:eastAsia="仿宋" w:cs="仿宋"/>
          <w:spacing w:val="-7"/>
          <w:sz w:val="32"/>
          <w:szCs w:val="32"/>
          <w:lang w:eastAsia="zh-CN"/>
        </w:rPr>
        <w:t>和策</w:t>
      </w:r>
      <w:r>
        <w:rPr>
          <w:rFonts w:ascii="仿宋" w:hAnsi="仿宋" w:eastAsia="仿宋" w:cs="仿宋"/>
          <w:spacing w:val="-7"/>
          <w:sz w:val="32"/>
          <w:szCs w:val="32"/>
        </w:rPr>
        <w:t>市监处罚〔</w:t>
      </w:r>
      <w:r>
        <w:rPr>
          <w:rFonts w:hint="eastAsia" w:ascii="仿宋" w:hAnsi="仿宋" w:eastAsia="仿宋" w:cs="仿宋"/>
          <w:spacing w:val="18"/>
          <w:sz w:val="32"/>
          <w:szCs w:val="32"/>
          <w:u w:val="single" w:color="auto"/>
          <w:lang w:val="en-US" w:eastAsia="zh-CN"/>
        </w:rPr>
        <w:t>2025</w:t>
      </w:r>
      <w:r>
        <w:rPr>
          <w:rFonts w:ascii="仿宋" w:hAnsi="仿宋" w:eastAsia="仿宋" w:cs="仿宋"/>
          <w:spacing w:val="-7"/>
          <w:sz w:val="32"/>
          <w:szCs w:val="32"/>
        </w:rPr>
        <w:t>〕</w:t>
      </w:r>
      <w:r>
        <w:rPr>
          <w:rFonts w:hint="eastAsia" w:ascii="仿宋" w:hAnsi="仿宋" w:eastAsia="仿宋" w:cs="仿宋"/>
          <w:spacing w:val="-7"/>
          <w:sz w:val="32"/>
          <w:szCs w:val="32"/>
          <w:u w:val="single"/>
          <w:lang w:val="en-US" w:eastAsia="zh-CN"/>
        </w:rPr>
        <w:t>77</w:t>
      </w:r>
      <w:r>
        <w:rPr>
          <w:rFonts w:ascii="仿宋" w:hAnsi="仿宋" w:eastAsia="仿宋" w:cs="仿宋"/>
          <w:spacing w:val="-7"/>
          <w:sz w:val="32"/>
          <w:szCs w:val="32"/>
        </w:rPr>
        <w:t>号</w:t>
      </w:r>
    </w:p>
    <w:p w14:paraId="25C4869E">
      <w:pPr>
        <w:spacing w:before="105" w:line="300" w:lineRule="auto"/>
        <w:ind w:right="16"/>
        <w:rPr>
          <w:rFonts w:ascii="仿宋" w:hAnsi="仿宋" w:eastAsia="仿宋" w:cs="仿宋"/>
          <w:spacing w:val="21"/>
          <w:sz w:val="32"/>
          <w:szCs w:val="32"/>
        </w:rPr>
      </w:pPr>
      <w:r>
        <w:rPr>
          <w:rFonts w:ascii="仿宋" w:hAnsi="仿宋" w:eastAsia="仿宋" w:cs="仿宋"/>
          <w:spacing w:val="4"/>
          <w:sz w:val="32"/>
          <w:szCs w:val="32"/>
        </w:rPr>
        <w:t xml:space="preserve">当事人： </w:t>
      </w:r>
      <w:r>
        <w:rPr>
          <w:rFonts w:hint="eastAsia" w:ascii="仿宋_GB2312" w:hAnsi="仿宋_GB2312" w:eastAsia="仿宋_GB2312" w:cs="仿宋_GB2312"/>
          <w:spacing w:val="0"/>
          <w:sz w:val="32"/>
          <w:szCs w:val="32"/>
          <w:u w:val="single"/>
          <w:lang w:val="en-US" w:eastAsia="zh-CN"/>
        </w:rPr>
        <w:t>策勒县伊坎库勒养殖农民专业合作社等21家合作社</w:t>
      </w:r>
      <w:r>
        <w:rPr>
          <w:rFonts w:ascii="仿宋" w:hAnsi="仿宋" w:eastAsia="仿宋" w:cs="仿宋"/>
          <w:spacing w:val="4"/>
          <w:sz w:val="32"/>
          <w:szCs w:val="32"/>
          <w:u w:val="single"/>
        </w:rPr>
        <w:t xml:space="preserve">  </w:t>
      </w:r>
      <w:r>
        <w:rPr>
          <w:rFonts w:hint="eastAsia" w:ascii="仿宋" w:hAnsi="仿宋" w:eastAsia="仿宋" w:cs="仿宋"/>
          <w:spacing w:val="4"/>
          <w:sz w:val="32"/>
          <w:szCs w:val="32"/>
          <w:u w:val="single"/>
          <w:lang w:val="en-US" w:eastAsia="zh-CN"/>
        </w:rPr>
        <w:t xml:space="preserve">   </w:t>
      </w:r>
      <w:r>
        <w:rPr>
          <w:rFonts w:ascii="仿宋" w:hAnsi="仿宋" w:eastAsia="仿宋" w:cs="仿宋"/>
          <w:spacing w:val="4"/>
          <w:sz w:val="32"/>
          <w:szCs w:val="32"/>
        </w:rPr>
        <w:t xml:space="preserve">                             </w:t>
      </w:r>
      <w:r>
        <w:rPr>
          <w:rFonts w:hint="eastAsia" w:ascii="仿宋" w:hAnsi="仿宋" w:eastAsia="仿宋" w:cs="仿宋"/>
          <w:spacing w:val="4"/>
          <w:sz w:val="32"/>
          <w:szCs w:val="32"/>
          <w:lang w:val="en-US" w:eastAsia="zh-CN"/>
        </w:rPr>
        <w:t xml:space="preserve">  </w:t>
      </w:r>
      <w:r>
        <w:rPr>
          <w:rFonts w:ascii="仿宋" w:hAnsi="仿宋" w:eastAsia="仿宋" w:cs="仿宋"/>
          <w:spacing w:val="4"/>
          <w:sz w:val="32"/>
          <w:szCs w:val="32"/>
        </w:rPr>
        <w:t xml:space="preserve">           </w:t>
      </w:r>
      <w:r>
        <w:rPr>
          <w:rFonts w:ascii="仿宋" w:hAnsi="仿宋" w:eastAsia="仿宋" w:cs="仿宋"/>
          <w:spacing w:val="-28"/>
          <w:sz w:val="32"/>
          <w:szCs w:val="32"/>
        </w:rPr>
        <w:t>主体资格证照名称：</w:t>
      </w:r>
      <w:r>
        <w:rPr>
          <w:rFonts w:hint="eastAsia" w:ascii="仿宋" w:hAnsi="仿宋" w:eastAsia="仿宋" w:cs="仿宋"/>
          <w:spacing w:val="-28"/>
          <w:sz w:val="32"/>
          <w:szCs w:val="32"/>
          <w:u w:val="single" w:color="auto"/>
          <w:lang w:val="en-US" w:eastAsia="zh-CN"/>
        </w:rPr>
        <w:t xml:space="preserve">     </w:t>
      </w:r>
      <w:r>
        <w:rPr>
          <w:rFonts w:hint="eastAsia" w:ascii="仿宋" w:hAnsi="仿宋" w:eastAsia="仿宋" w:cs="仿宋"/>
          <w:spacing w:val="1"/>
          <w:sz w:val="32"/>
          <w:szCs w:val="32"/>
          <w:u w:val="single" w:color="auto"/>
          <w:lang w:eastAsia="zh-CN"/>
        </w:rPr>
        <w:t>营业执照</w:t>
      </w:r>
      <w:r>
        <w:rPr>
          <w:rFonts w:ascii="仿宋" w:hAnsi="仿宋" w:eastAsia="仿宋" w:cs="仿宋"/>
          <w:spacing w:val="1"/>
          <w:sz w:val="32"/>
          <w:szCs w:val="32"/>
          <w:u w:val="single" w:color="auto"/>
        </w:rPr>
        <w:t xml:space="preserve">                                  </w:t>
      </w:r>
      <w:r>
        <w:rPr>
          <w:rFonts w:ascii="仿宋" w:hAnsi="仿宋" w:eastAsia="仿宋" w:cs="仿宋"/>
          <w:spacing w:val="19"/>
          <w:sz w:val="32"/>
          <w:szCs w:val="32"/>
        </w:rPr>
        <w:t xml:space="preserve"> </w:t>
      </w:r>
      <w:r>
        <w:rPr>
          <w:rFonts w:hint="default" w:ascii="仿宋" w:hAnsi="仿宋" w:eastAsia="仿宋" w:cs="仿宋"/>
          <w:spacing w:val="5"/>
          <w:sz w:val="32"/>
          <w:szCs w:val="32"/>
          <w:lang w:val="en-US"/>
        </w:rPr>
        <w:t xml:space="preserve">           </w:t>
      </w:r>
      <w:r>
        <w:rPr>
          <w:rFonts w:ascii="仿宋" w:hAnsi="仿宋" w:eastAsia="仿宋" w:cs="仿宋"/>
          <w:sz w:val="32"/>
          <w:szCs w:val="32"/>
        </w:rPr>
        <w:t>法定代表人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pacing w:val="1"/>
          <w:sz w:val="32"/>
          <w:szCs w:val="32"/>
          <w:u w:val="single" w:color="auto"/>
          <w:lang w:val="en-US" w:eastAsia="zh-CN"/>
        </w:rPr>
        <w:t xml:space="preserve">苏来曼·艾萨 </w:t>
      </w:r>
      <w:r>
        <w:rPr>
          <w:rFonts w:hint="eastAsia" w:ascii="仿宋" w:hAnsi="仿宋" w:eastAsia="仿宋" w:cs="仿宋"/>
          <w:spacing w:val="4"/>
          <w:sz w:val="32"/>
          <w:szCs w:val="32"/>
          <w:u w:val="single"/>
          <w:lang w:val="en-US" w:eastAsia="zh-CN"/>
        </w:rPr>
        <w:t xml:space="preserve">    </w:t>
      </w:r>
      <w:r>
        <w:rPr>
          <w:rFonts w:ascii="仿宋" w:hAnsi="仿宋" w:eastAsia="仿宋" w:cs="仿宋"/>
          <w:spacing w:val="1"/>
          <w:sz w:val="32"/>
          <w:szCs w:val="32"/>
          <w:u w:val="single" w:color="auto"/>
        </w:rPr>
        <w:t xml:space="preserve">       </w:t>
      </w:r>
      <w:r>
        <w:rPr>
          <w:rFonts w:hint="eastAsia" w:ascii="仿宋" w:hAnsi="仿宋" w:eastAsia="仿宋" w:cs="仿宋"/>
          <w:spacing w:val="1"/>
          <w:sz w:val="32"/>
          <w:szCs w:val="32"/>
          <w:u w:val="single" w:color="auto"/>
          <w:lang w:val="en-US" w:eastAsia="zh-CN"/>
        </w:rPr>
        <w:t xml:space="preserve"> </w:t>
      </w:r>
      <w:r>
        <w:rPr>
          <w:rFonts w:ascii="仿宋" w:hAnsi="仿宋" w:eastAsia="仿宋" w:cs="仿宋"/>
          <w:spacing w:val="1"/>
          <w:sz w:val="32"/>
          <w:szCs w:val="32"/>
          <w:u w:val="single" w:color="auto"/>
        </w:rPr>
        <w:t xml:space="preserve">   </w:t>
      </w:r>
      <w:r>
        <w:rPr>
          <w:rFonts w:hint="eastAsia" w:ascii="仿宋" w:hAnsi="仿宋" w:eastAsia="仿宋" w:cs="仿宋"/>
          <w:spacing w:val="1"/>
          <w:sz w:val="32"/>
          <w:szCs w:val="32"/>
          <w:u w:val="single" w:color="auto"/>
          <w:lang w:val="en-US" w:eastAsia="zh-CN"/>
        </w:rPr>
        <w:t xml:space="preserve">                     </w:t>
      </w:r>
      <w:r>
        <w:rPr>
          <w:rFonts w:ascii="仿宋" w:hAnsi="仿宋" w:eastAsia="仿宋" w:cs="仿宋"/>
          <w:spacing w:val="1"/>
          <w:sz w:val="32"/>
          <w:szCs w:val="32"/>
          <w:u w:val="single" w:color="auto"/>
        </w:rPr>
        <w:t xml:space="preserve">  </w:t>
      </w:r>
      <w:r>
        <w:rPr>
          <w:rFonts w:ascii="仿宋" w:hAnsi="仿宋" w:eastAsia="仿宋" w:cs="仿宋"/>
          <w:spacing w:val="21"/>
          <w:sz w:val="32"/>
          <w:szCs w:val="32"/>
        </w:rPr>
        <w:t xml:space="preserve"> </w:t>
      </w:r>
    </w:p>
    <w:p w14:paraId="2E7D5870">
      <w:pPr>
        <w:keepNext w:val="0"/>
        <w:keepLines w:val="0"/>
        <w:pageBreakBefore w:val="0"/>
        <w:widowControl/>
        <w:kinsoku w:val="0"/>
        <w:wordWrap/>
        <w:overflowPunct/>
        <w:topLinePunct w:val="0"/>
        <w:autoSpaceDE w:val="0"/>
        <w:autoSpaceDN w:val="0"/>
        <w:bidi w:val="0"/>
        <w:adjustRightInd w:val="0"/>
        <w:snapToGrid w:val="0"/>
        <w:spacing w:before="105" w:line="300" w:lineRule="auto"/>
        <w:ind w:left="34" w:right="17" w:firstLine="34"/>
        <w:jc w:val="both"/>
        <w:textAlignment w:val="baseline"/>
        <w:rPr>
          <w:rFonts w:hint="default" w:ascii="仿宋_GB2312" w:hAnsi="仿宋_GB2312" w:eastAsia="仿宋_GB2312" w:cs="仿宋_GB2312"/>
          <w:color w:val="auto"/>
          <w:spacing w:val="1"/>
          <w:w w:val="90"/>
          <w:sz w:val="32"/>
          <w:szCs w:val="32"/>
          <w:u w:val="single" w:color="auto"/>
          <w:lang w:val="en-US" w:eastAsia="zh-CN"/>
        </w:rPr>
      </w:pPr>
      <w:bookmarkStart w:id="0" w:name="_GoBack"/>
      <w:bookmarkEnd w:id="0"/>
      <w:r>
        <w:rPr>
          <w:rFonts w:hint="default" w:ascii="仿宋" w:hAnsi="仿宋" w:eastAsia="仿宋" w:cs="仿宋"/>
          <w:color w:val="231F20"/>
          <w:spacing w:val="1"/>
          <w:sz w:val="32"/>
          <w:szCs w:val="32"/>
          <w:u w:val="none"/>
          <w:lang w:val="en-US"/>
          <w14:textOutline w14:w="5793" w14:cap="sq" w14:cmpd="sng">
            <w14:solidFill>
              <w14:srgbClr w14:val="231F20"/>
            </w14:solidFill>
            <w14:prstDash w14:val="solid"/>
            <w14:bevel/>
          </w14:textOutline>
        </w:rPr>
        <w:t xml:space="preserve">   </w:t>
      </w:r>
      <w:r>
        <w:rPr>
          <w:rFonts w:ascii="仿宋" w:hAnsi="仿宋" w:eastAsia="仿宋" w:cs="仿宋"/>
          <w:color w:val="231F20"/>
          <w:spacing w:val="1"/>
          <w:sz w:val="32"/>
          <w:szCs w:val="32"/>
          <w14:textOutline w14:w="5793" w14:cap="sq" w14:cmpd="sng">
            <w14:solidFill>
              <w14:srgbClr w14:val="231F20"/>
            </w14:solidFill>
            <w14:prstDash w14:val="solid"/>
            <w14:bevel/>
          </w14:textOutline>
        </w:rPr>
        <w:t>（</w:t>
      </w:r>
      <w:r>
        <w:rPr>
          <w:rFonts w:ascii="楷体" w:hAnsi="楷体" w:eastAsia="楷体" w:cs="楷体"/>
          <w:color w:val="231F20"/>
          <w:spacing w:val="1"/>
          <w:sz w:val="32"/>
          <w:szCs w:val="32"/>
          <w:u w:val="none"/>
          <w14:textOutline w14:w="5793" w14:cap="sq" w14:cmpd="sng">
            <w14:solidFill>
              <w14:srgbClr w14:val="231F20"/>
            </w14:solidFill>
            <w14:prstDash w14:val="solid"/>
            <w14:bevel/>
          </w14:textOutline>
        </w:rPr>
        <w:t>案件来源及调查经过</w:t>
      </w:r>
      <w:r>
        <w:rPr>
          <w:rFonts w:ascii="仿宋" w:hAnsi="仿宋" w:eastAsia="仿宋" w:cs="仿宋"/>
          <w:color w:val="231F20"/>
          <w:spacing w:val="1"/>
          <w:sz w:val="32"/>
          <w:szCs w:val="32"/>
          <w:u w:val="none"/>
          <w14:textOutline w14:w="5793" w14:cap="sq" w14:cmpd="sng">
            <w14:solidFill>
              <w14:srgbClr w14:val="231F20"/>
            </w14:solidFill>
            <w14:prstDash w14:val="solid"/>
            <w14:bevel/>
          </w14:textOutline>
        </w:rPr>
        <w:t>）</w:t>
      </w:r>
      <w:r>
        <w:rPr>
          <w:rFonts w:hint="eastAsia" w:ascii="仿宋" w:hAnsi="仿宋" w:eastAsia="仿宋" w:cs="仿宋"/>
          <w:color w:val="231F20"/>
          <w:spacing w:val="1"/>
          <w:sz w:val="32"/>
          <w:szCs w:val="32"/>
          <w:u w:val="none"/>
          <w:lang w:val="en-US" w:eastAsia="zh-CN"/>
          <w14:textOutline w14:w="5793" w14:cap="sq" w14:cmpd="sng">
            <w14:solidFill>
              <w14:srgbClr w14:val="231F20"/>
            </w14:solidFill>
            <w14:prstDash w14:val="solid"/>
            <w14:bevel/>
          </w14:textOutline>
        </w:rPr>
        <w:t>:</w:t>
      </w:r>
      <w:r>
        <w:rPr>
          <w:rFonts w:hint="default" w:ascii="仿宋" w:hAnsi="仿宋" w:eastAsia="仿宋" w:cs="仿宋"/>
          <w:color w:val="231F20"/>
          <w:spacing w:val="1"/>
          <w:sz w:val="32"/>
          <w:szCs w:val="32"/>
          <w:u w:val="none"/>
          <w:lang w:val="en-US"/>
          <w14:textOutline w14:w="5793" w14:cap="sq" w14:cmpd="sng">
            <w14:solidFill>
              <w14:srgbClr w14:val="231F20"/>
            </w14:solidFill>
            <w14:prstDash w14:val="solid"/>
            <w14:bevel/>
          </w14:textOutline>
        </w:rPr>
        <w:t xml:space="preserve">  </w:t>
      </w:r>
      <w:r>
        <w:rPr>
          <w:rFonts w:hint="eastAsia" w:ascii="仿宋_GB2312" w:hAnsi="仿宋_GB2312" w:eastAsia="仿宋_GB2312" w:cs="仿宋_GB2312"/>
          <w:color w:val="auto"/>
          <w:spacing w:val="1"/>
          <w:sz w:val="32"/>
          <w:szCs w:val="32"/>
          <w:u w:val="single" w:color="auto"/>
          <w:lang w:val="en-US" w:eastAsia="zh-CN"/>
        </w:rPr>
        <w:t>2025年7月25日，策勒县市场监督管理局执法人员查询“新疆维吾尔自治区市场监督管理局信用监管服务平台”，发现</w:t>
      </w:r>
      <w:r>
        <w:rPr>
          <w:rFonts w:hint="eastAsia" w:ascii="仿宋_GB2312" w:hAnsi="仿宋_GB2312" w:eastAsia="仿宋_GB2312" w:cs="仿宋_GB2312"/>
          <w:spacing w:val="0"/>
          <w:sz w:val="32"/>
          <w:szCs w:val="32"/>
          <w:u w:val="single" w:color="auto"/>
          <w:lang w:val="en-US" w:eastAsia="zh-CN"/>
        </w:rPr>
        <w:t>策勒县伊坎库勒养殖农民专业合作社等21家合作社</w:t>
      </w:r>
      <w:r>
        <w:rPr>
          <w:rFonts w:hint="eastAsia" w:ascii="仿宋_GB2312" w:hAnsi="仿宋_GB2312" w:eastAsia="仿宋_GB2312" w:cs="仿宋_GB2312"/>
          <w:color w:val="auto"/>
          <w:spacing w:val="1"/>
          <w:sz w:val="32"/>
          <w:szCs w:val="32"/>
          <w:u w:val="single" w:color="auto"/>
          <w:lang w:val="en-US" w:eastAsia="zh-CN"/>
        </w:rPr>
        <w:t>2023年度和2024年度连续两年未报送年度报告，已被录入经营异常名录。</w:t>
      </w:r>
      <w:r>
        <w:rPr>
          <w:rFonts w:hint="eastAsia" w:ascii="仿宋_GB2312" w:hAnsi="仿宋_GB2312" w:eastAsia="仿宋_GB2312" w:cs="仿宋_GB2312"/>
          <w:color w:val="auto"/>
          <w:spacing w:val="0"/>
          <w:sz w:val="32"/>
          <w:szCs w:val="32"/>
          <w:highlight w:val="none"/>
          <w:u w:val="single" w:color="auto"/>
          <w:lang w:val="en-US" w:eastAsia="zh-CN"/>
        </w:rPr>
        <w:t>2025年8月5日，策勒县市场监督管理局在国家企业信用信息公示系统（部门协同监管平台-新疆）发布《策勒县市场监督管理局关于清理连续两年未按规定报送年度报告市场主体公告》附件有141家市场主体名单（含</w:t>
      </w:r>
      <w:r>
        <w:rPr>
          <w:rFonts w:hint="eastAsia" w:ascii="仿宋_GB2312" w:hAnsi="仿宋_GB2312" w:eastAsia="仿宋_GB2312" w:cs="仿宋_GB2312"/>
          <w:spacing w:val="0"/>
          <w:sz w:val="32"/>
          <w:szCs w:val="32"/>
          <w:u w:val="single" w:color="auto"/>
          <w:lang w:val="en-US" w:eastAsia="zh-CN"/>
        </w:rPr>
        <w:t>策勒县伊坎库勒养殖农民专业合作社等21家合作社）</w:t>
      </w:r>
      <w:r>
        <w:rPr>
          <w:rFonts w:hint="eastAsia" w:ascii="仿宋_GB2312" w:hAnsi="仿宋_GB2312" w:eastAsia="仿宋_GB2312" w:cs="仿宋_GB2312"/>
          <w:color w:val="auto"/>
          <w:spacing w:val="0"/>
          <w:sz w:val="32"/>
          <w:szCs w:val="32"/>
          <w:highlight w:val="none"/>
          <w:u w:val="single" w:color="auto"/>
          <w:lang w:val="en-US" w:eastAsia="zh-CN"/>
        </w:rPr>
        <w:t>，告知相关市场主体在15个工作日内通过国家企业信用信息公示系统（网址：</w:t>
      </w:r>
      <w:r>
        <w:rPr>
          <w:rFonts w:hint="eastAsia" w:ascii="仿宋_GB2312" w:hAnsi="仿宋_GB2312" w:eastAsia="仿宋_GB2312" w:cs="仿宋_GB2312"/>
          <w:color w:val="000000" w:themeColor="text1"/>
          <w:spacing w:val="0"/>
          <w:sz w:val="32"/>
          <w:szCs w:val="32"/>
          <w:highlight w:val="none"/>
          <w:u w:val="single" w:color="auto"/>
          <w:lang w:val="en-US" w:eastAsia="zh-CN"/>
          <w14:textFill>
            <w14:solidFill>
              <w14:schemeClr w14:val="tx1"/>
            </w14:solidFill>
          </w14:textFill>
        </w:rPr>
        <w:t>https://nb.xjaic.gov.cn/</w:t>
      </w:r>
      <w:r>
        <w:rPr>
          <w:rFonts w:hint="eastAsia" w:ascii="仿宋_GB2312" w:hAnsi="仿宋_GB2312" w:eastAsia="仿宋_GB2312" w:cs="仿宋_GB2312"/>
          <w:color w:val="auto"/>
          <w:spacing w:val="0"/>
          <w:sz w:val="32"/>
          <w:szCs w:val="32"/>
          <w:highlight w:val="none"/>
          <w:u w:val="single" w:color="auto"/>
          <w:lang w:val="en-US" w:eastAsia="zh-CN"/>
        </w:rPr>
        <w:t>）补报企业年度报告、并到我局办理经营异常名录移出等相关手续或者办理注销手续，对逾期仍不办理的，我局将依法吊销营业执照。</w:t>
      </w:r>
      <w:r>
        <w:rPr>
          <w:rFonts w:hint="eastAsia" w:ascii="仿宋_GB2312" w:hAnsi="仿宋_GB2312" w:eastAsia="仿宋_GB2312" w:cs="仿宋_GB2312"/>
          <w:spacing w:val="0"/>
          <w:sz w:val="32"/>
          <w:szCs w:val="32"/>
          <w:u w:val="single" w:color="auto"/>
          <w:lang w:val="en-US" w:eastAsia="zh-CN"/>
        </w:rPr>
        <w:t>策勒县伊坎库勒养殖农民专业合作社等21家合作社</w:t>
      </w:r>
      <w:r>
        <w:rPr>
          <w:rFonts w:hint="eastAsia" w:ascii="仿宋_GB2312" w:hAnsi="仿宋_GB2312" w:eastAsia="仿宋_GB2312" w:cs="仿宋_GB2312"/>
          <w:color w:val="auto"/>
          <w:spacing w:val="1"/>
          <w:sz w:val="32"/>
          <w:szCs w:val="32"/>
          <w:u w:val="single" w:color="auto"/>
          <w:lang w:val="en-US" w:eastAsia="zh-CN"/>
        </w:rPr>
        <w:t>连续两年未报送年度报告行为，涉嫌违反了《中华人民共和国农民专业合作社法》第十七条之规定，</w:t>
      </w:r>
      <w:r>
        <w:rPr>
          <w:rFonts w:hint="eastAsia" w:ascii="仿宋_GB2312" w:hAnsi="仿宋_GB2312" w:eastAsia="仿宋_GB2312" w:cs="仿宋_GB2312"/>
          <w:color w:val="auto"/>
          <w:sz w:val="32"/>
          <w:szCs w:val="32"/>
          <w:u w:val="single" w:color="auto"/>
          <w:lang w:val="en-US" w:eastAsia="zh-CN"/>
        </w:rPr>
        <w:t>构成</w:t>
      </w:r>
      <w:r>
        <w:rPr>
          <w:rFonts w:hint="eastAsia" w:ascii="仿宋_GB2312" w:hAnsi="仿宋_GB2312" w:eastAsia="仿宋_GB2312" w:cs="仿宋_GB2312"/>
          <w:snapToGrid/>
          <w:spacing w:val="1"/>
          <w:kern w:val="2"/>
          <w:sz w:val="32"/>
          <w:szCs w:val="32"/>
          <w:u w:val="single" w:color="auto"/>
          <w:lang w:val="en-US" w:eastAsia="zh-CN" w:bidi="ar-SA"/>
        </w:rPr>
        <w:t>连续两年未依法报送年度报告的违法行为</w:t>
      </w:r>
      <w:r>
        <w:rPr>
          <w:rFonts w:hint="eastAsia" w:ascii="仿宋_GB2312" w:hAnsi="仿宋_GB2312" w:eastAsia="仿宋_GB2312" w:cs="仿宋_GB2312"/>
          <w:color w:val="auto"/>
          <w:spacing w:val="1"/>
          <w:sz w:val="32"/>
          <w:szCs w:val="32"/>
          <w:u w:val="single" w:color="auto"/>
          <w:lang w:val="en-US" w:eastAsia="zh-CN"/>
        </w:rPr>
        <w:t xml:space="preserve">。依据《市场监督管理行政处罚程序规定》第十九条第一款的规定，我局执法人员向主要领导汇报，并于2025年8月21日立案。本案未采取强制措施。                                     </w:t>
      </w:r>
      <w:r>
        <w:rPr>
          <w:rFonts w:hint="eastAsia" w:ascii="仿宋_GB2312" w:hAnsi="仿宋_GB2312" w:eastAsia="仿宋_GB2312" w:cs="仿宋_GB2312"/>
          <w:color w:val="auto"/>
          <w:spacing w:val="1"/>
          <w:w w:val="90"/>
          <w:sz w:val="32"/>
          <w:szCs w:val="32"/>
          <w:u w:val="single" w:color="auto"/>
          <w:lang w:val="en-US" w:eastAsia="zh-CN"/>
        </w:rPr>
        <w:t xml:space="preserve">   </w:t>
      </w:r>
    </w:p>
    <w:p w14:paraId="442E0BFD">
      <w:pPr>
        <w:keepNext w:val="0"/>
        <w:keepLines w:val="0"/>
        <w:pageBreakBefore w:val="0"/>
        <w:widowControl/>
        <w:kinsoku w:val="0"/>
        <w:wordWrap/>
        <w:overflowPunct/>
        <w:topLinePunct w:val="0"/>
        <w:autoSpaceDE w:val="0"/>
        <w:autoSpaceDN w:val="0"/>
        <w:bidi w:val="0"/>
        <w:adjustRightInd w:val="0"/>
        <w:snapToGrid w:val="0"/>
        <w:spacing w:before="105" w:line="300" w:lineRule="auto"/>
        <w:ind w:left="34" w:right="17" w:firstLine="688" w:firstLineChars="215"/>
        <w:jc w:val="both"/>
        <w:textAlignment w:val="baseline"/>
        <w:rPr>
          <w:rFonts w:hint="default" w:ascii="仿宋_GB2312" w:hAnsi="仿宋" w:eastAsia="仿宋_GB2312" w:cs="仿宋"/>
          <w:sz w:val="32"/>
          <w:szCs w:val="32"/>
          <w:u w:val="single"/>
          <w:lang w:val="en-US" w:eastAsia="zh-CN"/>
        </w:rPr>
      </w:pPr>
      <w:r>
        <w:rPr>
          <w:rFonts w:hint="eastAsia" w:ascii="仿宋_GB2312" w:hAnsi="仿宋_GB2312" w:eastAsia="仿宋_GB2312" w:cs="仿宋_GB2312"/>
          <w:color w:val="auto"/>
          <w:spacing w:val="0"/>
          <w:sz w:val="32"/>
          <w:szCs w:val="32"/>
          <w:highlight w:val="none"/>
          <w:u w:val="single" w:color="auto"/>
          <w:lang w:val="en-US" w:eastAsia="zh-CN"/>
        </w:rPr>
        <w:t>经查，2025年9月7日，我局执法人员再次</w:t>
      </w:r>
      <w:r>
        <w:rPr>
          <w:rFonts w:hint="eastAsia" w:ascii="仿宋_GB2312" w:hAnsi="仿宋_GB2312" w:eastAsia="仿宋_GB2312" w:cs="仿宋_GB2312"/>
          <w:color w:val="auto"/>
          <w:spacing w:val="1"/>
          <w:sz w:val="32"/>
          <w:szCs w:val="32"/>
          <w:u w:val="single" w:color="auto"/>
          <w:lang w:val="en-US" w:eastAsia="zh-CN"/>
        </w:rPr>
        <w:t>查询“新疆维吾尔自治区市场监督管理局信用监管服务平台”，发现</w:t>
      </w:r>
      <w:r>
        <w:rPr>
          <w:rFonts w:hint="eastAsia" w:ascii="仿宋_GB2312" w:hAnsi="仿宋_GB2312" w:eastAsia="仿宋_GB2312" w:cs="仿宋_GB2312"/>
          <w:color w:val="auto"/>
          <w:spacing w:val="0"/>
          <w:sz w:val="32"/>
          <w:szCs w:val="32"/>
          <w:highlight w:val="none"/>
          <w:u w:val="single" w:color="auto"/>
          <w:lang w:val="en-US" w:eastAsia="zh-CN"/>
        </w:rPr>
        <w:t>策勒县伊坎库勒养殖农民专业合作社等21家合作社</w:t>
      </w:r>
      <w:r>
        <w:rPr>
          <w:rFonts w:hint="eastAsia" w:ascii="仿宋_GB2312" w:hAnsi="仿宋_GB2312" w:eastAsia="仿宋_GB2312" w:cs="仿宋_GB2312"/>
          <w:spacing w:val="0"/>
          <w:sz w:val="32"/>
          <w:szCs w:val="32"/>
          <w:u w:val="single"/>
          <w:lang w:val="en-US" w:eastAsia="zh-CN"/>
        </w:rPr>
        <w:t>公告期限内届满后仍未改正连续两年未报送年度报告行为</w:t>
      </w:r>
      <w:r>
        <w:rPr>
          <w:rFonts w:hint="eastAsia" w:ascii="仿宋_GB2312" w:hAnsi="仿宋_GB2312" w:eastAsia="仿宋_GB2312" w:cs="仿宋_GB2312"/>
          <w:color w:val="auto"/>
          <w:spacing w:val="0"/>
          <w:sz w:val="32"/>
          <w:szCs w:val="32"/>
          <w:highlight w:val="none"/>
          <w:u w:val="single" w:color="auto"/>
          <w:lang w:val="en-US" w:eastAsia="zh-CN"/>
        </w:rPr>
        <w:t>。2025年8月7日至2025年8月8日执法人员对上述21家合作社注册登记的经营地址进行实地查看。经实地核查，在注册登记地址未开展经营活动或者源地址已不存在，通过登记注册的地址及留存的联系方式，本局均无法与其取得联系。执法人员实地核查情况制作了现场笔录，进一步确认</w:t>
      </w:r>
      <w:r>
        <w:rPr>
          <w:rFonts w:hint="eastAsia" w:ascii="仿宋_GB2312" w:hAnsi="仿宋_GB2312" w:eastAsia="仿宋_GB2312" w:cs="仿宋_GB2312"/>
          <w:color w:val="auto"/>
          <w:spacing w:val="0"/>
          <w:sz w:val="32"/>
          <w:szCs w:val="32"/>
          <w:u w:val="single"/>
          <w:lang w:val="en-US" w:eastAsia="zh-CN"/>
        </w:rPr>
        <w:t>策勒县伊坎库勒养殖农民专业合作社等21家合作社</w:t>
      </w:r>
      <w:r>
        <w:rPr>
          <w:rFonts w:hint="eastAsia" w:ascii="仿宋_GB2312" w:hAnsi="仿宋_GB2312" w:eastAsia="仿宋_GB2312" w:cs="仿宋_GB2312"/>
          <w:color w:val="auto"/>
          <w:spacing w:val="1"/>
          <w:sz w:val="32"/>
          <w:szCs w:val="32"/>
          <w:u w:val="single" w:color="auto"/>
          <w:lang w:val="en-US" w:eastAsia="zh-CN"/>
        </w:rPr>
        <w:t>连续两年</w:t>
      </w:r>
      <w:r>
        <w:rPr>
          <w:rFonts w:hint="eastAsia" w:ascii="仿宋_GB2312" w:hAnsi="仿宋_GB2312" w:eastAsia="仿宋_GB2312" w:cs="仿宋_GB2312"/>
          <w:spacing w:val="0"/>
          <w:sz w:val="32"/>
          <w:szCs w:val="32"/>
          <w:u w:val="single"/>
          <w:lang w:val="en-US" w:eastAsia="zh-CN"/>
        </w:rPr>
        <w:t>未报送年度报告及连续两年未从事经营活动的的违法事实。</w:t>
      </w:r>
      <w:r>
        <w:rPr>
          <w:rFonts w:hint="eastAsia" w:ascii="仿宋_GB2312" w:hAnsi="仿宋_GB2312" w:eastAsia="仿宋_GB2312" w:cs="仿宋_GB2312"/>
          <w:color w:val="auto"/>
          <w:spacing w:val="0"/>
          <w:sz w:val="32"/>
          <w:szCs w:val="32"/>
          <w:highlight w:val="none"/>
          <w:u w:val="single" w:color="auto"/>
          <w:lang w:val="en-US" w:eastAsia="zh-CN"/>
        </w:rPr>
        <w:t xml:space="preserve">          </w:t>
      </w:r>
      <w:r>
        <w:rPr>
          <w:rFonts w:hint="eastAsia" w:ascii="仿宋_GB2312" w:hAnsi="仿宋_GB2312" w:eastAsia="仿宋_GB2312" w:cs="仿宋_GB2312"/>
          <w:color w:val="auto"/>
          <w:spacing w:val="1"/>
          <w:w w:val="90"/>
          <w:sz w:val="32"/>
          <w:szCs w:val="32"/>
          <w:u w:val="single" w:color="auto"/>
          <w:lang w:val="en-US" w:eastAsia="zh-CN"/>
        </w:rPr>
        <w:t xml:space="preserve">                        </w:t>
      </w:r>
      <w:r>
        <w:rPr>
          <w:rFonts w:hint="eastAsia" w:ascii="仿宋_GB2312" w:hAnsi="仿宋_GB2312" w:eastAsia="仿宋_GB2312" w:cs="仿宋_GB2312"/>
          <w:color w:val="000000" w:themeColor="text1"/>
          <w:spacing w:val="1"/>
          <w:w w:val="90"/>
          <w:sz w:val="32"/>
          <w:szCs w:val="32"/>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auto"/>
          <w:spacing w:val="1"/>
          <w:w w:val="90"/>
          <w:sz w:val="32"/>
          <w:szCs w:val="32"/>
          <w:u w:val="single" w:color="auto"/>
          <w:lang w:val="en-US" w:eastAsia="zh-CN"/>
        </w:rPr>
        <w:t xml:space="preserve">             </w:t>
      </w:r>
      <w:r>
        <w:rPr>
          <w:rFonts w:hint="eastAsia" w:ascii="仿宋" w:hAnsi="仿宋" w:eastAsia="仿宋" w:cs="仿宋"/>
          <w:spacing w:val="-1"/>
          <w:w w:val="90"/>
          <w:sz w:val="32"/>
          <w:szCs w:val="32"/>
          <w:u w:val="single"/>
          <w:lang w:val="en-US" w:eastAsia="zh-CN"/>
        </w:rPr>
        <w:t xml:space="preserve">  </w:t>
      </w:r>
      <w:r>
        <w:rPr>
          <w:rFonts w:hint="eastAsia" w:ascii="仿宋_GB2312" w:hAnsi="仿宋" w:eastAsia="仿宋_GB2312" w:cs="仿宋"/>
          <w:w w:val="90"/>
          <w:sz w:val="32"/>
          <w:szCs w:val="32"/>
          <w:u w:val="single"/>
          <w:lang w:val="en-US" w:eastAsia="zh-CN"/>
        </w:rPr>
        <w:t xml:space="preserve">  </w:t>
      </w:r>
      <w:r>
        <w:rPr>
          <w:rFonts w:hint="eastAsia" w:ascii="仿宋_GB2312" w:hAnsi="仿宋" w:eastAsia="仿宋_GB2312" w:cs="仿宋"/>
          <w:sz w:val="32"/>
          <w:szCs w:val="32"/>
          <w:u w:val="single"/>
          <w:lang w:val="en-US" w:eastAsia="zh-CN"/>
        </w:rPr>
        <w:t xml:space="preserve">        </w:t>
      </w:r>
      <w:r>
        <w:rPr>
          <w:rFonts w:hint="default"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lang w:val="en-US" w:eastAsia="zh-CN"/>
        </w:rPr>
        <w:t xml:space="preserve">          </w:t>
      </w:r>
      <w:r>
        <w:rPr>
          <w:rFonts w:hint="default"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lang w:val="en-US" w:eastAsia="zh-CN"/>
        </w:rPr>
        <w:t xml:space="preserve"> </w:t>
      </w:r>
    </w:p>
    <w:p w14:paraId="3B9D8555">
      <w:pPr>
        <w:spacing w:line="64" w:lineRule="exact"/>
      </w:pPr>
    </w:p>
    <w:p w14:paraId="1D824129">
      <w:pPr>
        <w:spacing w:line="64" w:lineRule="exact"/>
      </w:pPr>
    </w:p>
    <w:p w14:paraId="141645B1">
      <w:pPr>
        <w:spacing w:before="104" w:line="183" w:lineRule="auto"/>
        <w:ind w:firstLine="322" w:firstLineChars="100"/>
        <w:rPr>
          <w:rFonts w:hint="eastAsia" w:ascii="仿宋" w:hAnsi="仿宋" w:eastAsia="仿宋" w:cs="仿宋"/>
          <w:sz w:val="32"/>
          <w:szCs w:val="32"/>
          <w:u w:val="single" w:color="auto"/>
          <w:lang w:val="en-US" w:eastAsia="zh-CN"/>
        </w:rPr>
      </w:pPr>
      <w:r>
        <w:rPr>
          <w:rFonts w:ascii="楷体" w:hAnsi="楷体" w:eastAsia="楷体" w:cs="楷体"/>
          <w:color w:val="231F20"/>
          <w:spacing w:val="1"/>
          <w:sz w:val="32"/>
          <w:szCs w:val="32"/>
          <w:u w:val="none"/>
          <w14:textOutline w14:w="5793" w14:cap="sq" w14:cmpd="sng">
            <w14:solidFill>
              <w14:srgbClr w14:val="231F20"/>
            </w14:solidFill>
            <w14:prstDash w14:val="solid"/>
            <w14:bevel/>
          </w14:textOutline>
        </w:rPr>
        <w:t>上述事实，主要有以下证据证明：</w:t>
      </w:r>
    </w:p>
    <w:p w14:paraId="38D0CC5A">
      <w:pPr>
        <w:keepNext w:val="0"/>
        <w:keepLines w:val="0"/>
        <w:pageBreakBefore w:val="0"/>
        <w:widowControl w:val="0"/>
        <w:kinsoku/>
        <w:wordWrap/>
        <w:overflowPunct/>
        <w:topLinePunct w:val="0"/>
        <w:autoSpaceDE/>
        <w:autoSpaceDN/>
        <w:bidi w:val="0"/>
        <w:adjustRightInd/>
        <w:spacing w:line="560" w:lineRule="exact"/>
        <w:ind w:firstLine="644" w:firstLineChars="200"/>
        <w:jc w:val="both"/>
        <w:textAlignment w:val="auto"/>
        <w:rPr>
          <w:rFonts w:hint="default" w:ascii="仿宋_GB2312" w:hAnsi="仿宋_GB2312" w:eastAsia="仿宋_GB2312" w:cs="仿宋_GB2312"/>
          <w:color w:val="FF0000"/>
          <w:spacing w:val="1"/>
          <w:sz w:val="32"/>
          <w:szCs w:val="32"/>
          <w:u w:val="single" w:color="auto"/>
          <w:lang w:val="en-US" w:eastAsia="zh-CN"/>
        </w:rPr>
      </w:pPr>
      <w:r>
        <w:rPr>
          <w:rFonts w:hint="eastAsia" w:ascii="仿宋_GB2312" w:hAnsi="仿宋_GB2312" w:eastAsia="仿宋_GB2312" w:cs="仿宋_GB2312"/>
          <w:color w:val="auto"/>
          <w:spacing w:val="1"/>
          <w:sz w:val="32"/>
          <w:szCs w:val="32"/>
          <w:u w:val="single" w:color="auto"/>
          <w:lang w:val="en-US" w:eastAsia="zh-CN"/>
        </w:rPr>
        <w:t xml:space="preserve">1、2025年8月7日至2025年8月8日策勒县市场监督管理局执法人员前往登记注册地址核实的现场笔录21份，证明对21家连续两年未从事经营活动的合作社开展现场核查的事实。                                              </w:t>
      </w:r>
      <w:r>
        <w:rPr>
          <w:rFonts w:hint="eastAsia" w:ascii="仿宋_GB2312" w:hAnsi="仿宋_GB2312" w:eastAsia="仿宋_GB2312" w:cs="仿宋_GB2312"/>
          <w:color w:val="FF0000"/>
          <w:spacing w:val="1"/>
          <w:sz w:val="32"/>
          <w:szCs w:val="32"/>
          <w:u w:val="single" w:color="auto"/>
          <w:lang w:val="en-US" w:eastAsia="zh-CN"/>
        </w:rPr>
        <w:t xml:space="preserve">       </w:t>
      </w:r>
    </w:p>
    <w:p w14:paraId="6E643ED3">
      <w:pPr>
        <w:keepNext w:val="0"/>
        <w:keepLines w:val="0"/>
        <w:pageBreakBefore w:val="0"/>
        <w:widowControl w:val="0"/>
        <w:kinsoku/>
        <w:wordWrap/>
        <w:overflowPunct/>
        <w:topLinePunct w:val="0"/>
        <w:autoSpaceDE/>
        <w:autoSpaceDN/>
        <w:bidi w:val="0"/>
        <w:adjustRightInd/>
        <w:spacing w:line="560" w:lineRule="exact"/>
        <w:ind w:firstLine="644" w:firstLineChars="200"/>
        <w:jc w:val="both"/>
        <w:textAlignment w:val="auto"/>
        <w:rPr>
          <w:rFonts w:hint="default" w:ascii="仿宋_GB2312" w:hAnsi="仿宋_GB2312" w:eastAsia="仿宋_GB2312" w:cs="仿宋_GB2312"/>
          <w:color w:val="auto"/>
          <w:spacing w:val="1"/>
          <w:sz w:val="32"/>
          <w:szCs w:val="32"/>
          <w:u w:val="single" w:color="auto"/>
          <w:lang w:val="en-US" w:eastAsia="zh-CN"/>
        </w:rPr>
      </w:pPr>
      <w:r>
        <w:rPr>
          <w:rFonts w:hint="eastAsia" w:ascii="仿宋_GB2312" w:hAnsi="仿宋_GB2312" w:eastAsia="仿宋_GB2312" w:cs="仿宋_GB2312"/>
          <w:color w:val="auto"/>
          <w:spacing w:val="1"/>
          <w:sz w:val="32"/>
          <w:szCs w:val="32"/>
          <w:u w:val="single" w:color="auto"/>
          <w:lang w:val="en-US" w:eastAsia="zh-CN"/>
        </w:rPr>
        <w:t>2、</w:t>
      </w:r>
      <w:r>
        <w:rPr>
          <w:rFonts w:hint="eastAsia" w:ascii="仿宋_GB2312" w:hAnsi="仿宋_GB2312" w:eastAsia="仿宋_GB2312" w:cs="仿宋_GB2312"/>
          <w:color w:val="auto"/>
          <w:spacing w:val="0"/>
          <w:sz w:val="32"/>
          <w:szCs w:val="32"/>
          <w:highlight w:val="none"/>
          <w:u w:val="single" w:color="auto"/>
          <w:lang w:val="en-US" w:eastAsia="zh-CN"/>
        </w:rPr>
        <w:t>2025年9月7日，策勒县市场监督管理局执法人员</w:t>
      </w:r>
      <w:r>
        <w:rPr>
          <w:rFonts w:hint="eastAsia" w:ascii="仿宋_GB2312" w:hAnsi="仿宋_GB2312" w:eastAsia="仿宋_GB2312" w:cs="仿宋_GB2312"/>
          <w:color w:val="auto"/>
          <w:spacing w:val="1"/>
          <w:sz w:val="32"/>
          <w:szCs w:val="32"/>
          <w:u w:val="single" w:color="auto"/>
          <w:lang w:val="en-US" w:eastAsia="zh-CN"/>
        </w:rPr>
        <w:t>查询“新疆维吾尔自治区市场监督管理局信用监管服务平台”到处的</w:t>
      </w:r>
      <w:r>
        <w:rPr>
          <w:rFonts w:hint="eastAsia" w:ascii="仿宋_GB2312" w:hAnsi="仿宋_GB2312" w:eastAsia="仿宋_GB2312" w:cs="仿宋_GB2312"/>
          <w:color w:val="auto"/>
          <w:spacing w:val="0"/>
          <w:sz w:val="32"/>
          <w:szCs w:val="32"/>
          <w:u w:val="single"/>
          <w:lang w:val="en-US" w:eastAsia="zh-CN"/>
        </w:rPr>
        <w:t>21家合作社</w:t>
      </w:r>
      <w:r>
        <w:rPr>
          <w:rFonts w:hint="eastAsia" w:ascii="仿宋_GB2312" w:hAnsi="仿宋_GB2312" w:eastAsia="仿宋_GB2312" w:cs="仿宋_GB2312"/>
          <w:color w:val="auto"/>
          <w:spacing w:val="1"/>
          <w:sz w:val="32"/>
          <w:szCs w:val="32"/>
          <w:u w:val="single" w:color="auto"/>
          <w:lang w:val="en-US" w:eastAsia="zh-CN"/>
        </w:rPr>
        <w:t>连续两年</w:t>
      </w:r>
      <w:r>
        <w:rPr>
          <w:rFonts w:hint="eastAsia" w:ascii="仿宋_GB2312" w:hAnsi="仿宋_GB2312" w:eastAsia="仿宋_GB2312" w:cs="仿宋_GB2312"/>
          <w:spacing w:val="0"/>
          <w:sz w:val="32"/>
          <w:szCs w:val="32"/>
          <w:u w:val="single"/>
          <w:lang w:val="en-US" w:eastAsia="zh-CN"/>
        </w:rPr>
        <w:t>未报送年度报告的名单</w:t>
      </w:r>
      <w:r>
        <w:rPr>
          <w:rFonts w:hint="eastAsia" w:ascii="仿宋_GB2312" w:hAnsi="仿宋_GB2312" w:eastAsia="仿宋_GB2312" w:cs="仿宋_GB2312"/>
          <w:color w:val="auto"/>
          <w:spacing w:val="1"/>
          <w:sz w:val="32"/>
          <w:szCs w:val="32"/>
          <w:u w:val="single" w:color="auto"/>
          <w:lang w:val="en-US" w:eastAsia="zh-CN"/>
        </w:rPr>
        <w:t xml:space="preserve"> ，证明21家合作社连续两年未报送年度报告的违法事实。                           </w:t>
      </w:r>
    </w:p>
    <w:p w14:paraId="09E23A95">
      <w:pPr>
        <w:keepNext w:val="0"/>
        <w:keepLines w:val="0"/>
        <w:pageBreakBefore w:val="0"/>
        <w:widowControl w:val="0"/>
        <w:kinsoku/>
        <w:wordWrap/>
        <w:overflowPunct/>
        <w:topLinePunct w:val="0"/>
        <w:autoSpaceDE/>
        <w:autoSpaceDN/>
        <w:bidi w:val="0"/>
        <w:adjustRightInd/>
        <w:spacing w:line="560" w:lineRule="exact"/>
        <w:ind w:firstLine="644" w:firstLineChars="200"/>
        <w:jc w:val="both"/>
        <w:textAlignment w:val="auto"/>
        <w:rPr>
          <w:rFonts w:hint="default" w:ascii="仿宋_GB2312" w:hAnsi="仿宋_GB2312" w:eastAsia="仿宋_GB2312" w:cs="仿宋_GB2312"/>
          <w:color w:val="FF0000"/>
          <w:spacing w:val="1"/>
          <w:sz w:val="32"/>
          <w:szCs w:val="32"/>
          <w:u w:val="single" w:color="auto"/>
          <w:lang w:val="en-US" w:eastAsia="zh-CN"/>
        </w:rPr>
      </w:pPr>
      <w:r>
        <w:rPr>
          <w:rFonts w:hint="eastAsia" w:ascii="仿宋_GB2312" w:hAnsi="仿宋_GB2312" w:eastAsia="仿宋_GB2312" w:cs="仿宋_GB2312"/>
          <w:color w:val="auto"/>
          <w:spacing w:val="1"/>
          <w:sz w:val="32"/>
          <w:szCs w:val="32"/>
          <w:u w:val="single" w:color="auto"/>
          <w:lang w:val="en-US" w:eastAsia="zh-CN"/>
        </w:rPr>
        <w:t>3、2025年8月5日，策勒县市场监督管理局在国家企业信用信息公示系统（部门协同监管平台-新疆）发布《关于</w:t>
      </w:r>
      <w:r>
        <w:rPr>
          <w:rFonts w:hint="eastAsia" w:ascii="仿宋_GB2312" w:hAnsi="仿宋_GB2312" w:eastAsia="仿宋_GB2312" w:cs="仿宋_GB2312"/>
          <w:color w:val="auto"/>
          <w:spacing w:val="0"/>
          <w:sz w:val="32"/>
          <w:szCs w:val="32"/>
          <w:highlight w:val="none"/>
          <w:u w:val="single" w:color="auto"/>
          <w:lang w:val="en-US" w:eastAsia="zh-CN"/>
        </w:rPr>
        <w:t>清理连续两年未按规定报送年度报告市场主体公告</w:t>
      </w:r>
      <w:r>
        <w:rPr>
          <w:rFonts w:hint="eastAsia" w:ascii="仿宋_GB2312" w:hAnsi="仿宋_GB2312" w:eastAsia="仿宋_GB2312" w:cs="仿宋_GB2312"/>
          <w:color w:val="auto"/>
          <w:spacing w:val="1"/>
          <w:sz w:val="32"/>
          <w:szCs w:val="32"/>
          <w:u w:val="single" w:color="auto"/>
          <w:lang w:val="en-US" w:eastAsia="zh-CN"/>
        </w:rPr>
        <w:t>》</w:t>
      </w:r>
      <w:r>
        <w:rPr>
          <w:rFonts w:hint="eastAsia" w:ascii="仿宋_GB2312" w:hAnsi="仿宋_GB2312" w:eastAsia="仿宋_GB2312" w:cs="仿宋_GB2312"/>
          <w:color w:val="auto"/>
          <w:spacing w:val="0"/>
          <w:sz w:val="32"/>
          <w:szCs w:val="32"/>
          <w:highlight w:val="none"/>
          <w:u w:val="single" w:color="auto"/>
          <w:lang w:val="en-US" w:eastAsia="zh-CN"/>
        </w:rPr>
        <w:t>附件有141家市场主体名单（含</w:t>
      </w:r>
      <w:r>
        <w:rPr>
          <w:rFonts w:hint="eastAsia" w:ascii="仿宋_GB2312" w:hAnsi="仿宋_GB2312" w:eastAsia="仿宋_GB2312" w:cs="仿宋_GB2312"/>
          <w:spacing w:val="0"/>
          <w:sz w:val="32"/>
          <w:szCs w:val="32"/>
          <w:u w:val="single" w:color="auto"/>
          <w:lang w:val="en-US" w:eastAsia="zh-CN"/>
        </w:rPr>
        <w:t>策勒县伊坎库勒养殖农民专业合作社等21家合作社）</w:t>
      </w:r>
      <w:r>
        <w:rPr>
          <w:rFonts w:hint="eastAsia" w:ascii="仿宋_GB2312" w:hAnsi="仿宋_GB2312" w:eastAsia="仿宋_GB2312" w:cs="仿宋_GB2312"/>
          <w:color w:val="auto"/>
          <w:spacing w:val="1"/>
          <w:sz w:val="32"/>
          <w:szCs w:val="32"/>
          <w:u w:val="single" w:color="auto"/>
          <w:lang w:val="en-US" w:eastAsia="zh-CN"/>
        </w:rPr>
        <w:t xml:space="preserve">，证明已发布公告的事实。                                     </w:t>
      </w:r>
      <w:r>
        <w:rPr>
          <w:rFonts w:hint="eastAsia" w:ascii="仿宋_GB2312" w:hAnsi="仿宋_GB2312" w:eastAsia="仿宋_GB2312" w:cs="仿宋_GB2312"/>
          <w:color w:val="FF0000"/>
          <w:spacing w:val="1"/>
          <w:sz w:val="32"/>
          <w:szCs w:val="32"/>
          <w:u w:val="single" w:color="auto"/>
          <w:lang w:val="en-US" w:eastAsia="zh-CN"/>
        </w:rPr>
        <w:t xml:space="preserve">      </w:t>
      </w:r>
    </w:p>
    <w:p w14:paraId="6B4F694A">
      <w:pPr>
        <w:keepNext w:val="0"/>
        <w:keepLines w:val="0"/>
        <w:pageBreakBefore w:val="0"/>
        <w:widowControl w:val="0"/>
        <w:kinsoku/>
        <w:wordWrap/>
        <w:overflowPunct/>
        <w:topLinePunct w:val="0"/>
        <w:autoSpaceDE/>
        <w:autoSpaceDN/>
        <w:bidi w:val="0"/>
        <w:adjustRightInd/>
        <w:spacing w:line="560" w:lineRule="exact"/>
        <w:ind w:firstLine="644" w:firstLineChars="200"/>
        <w:jc w:val="both"/>
        <w:textAlignment w:val="auto"/>
        <w:rPr>
          <w:rFonts w:hint="default" w:ascii="仿宋_GB2312" w:hAnsi="仿宋_GB2312" w:eastAsia="仿宋_GB2312" w:cs="仿宋_GB2312"/>
          <w:color w:val="auto"/>
          <w:spacing w:val="1"/>
          <w:sz w:val="32"/>
          <w:szCs w:val="32"/>
          <w:u w:val="single" w:color="auto"/>
          <w:lang w:val="en-US" w:eastAsia="zh-CN"/>
        </w:rPr>
      </w:pPr>
      <w:r>
        <w:rPr>
          <w:rFonts w:hint="eastAsia" w:ascii="仿宋_GB2312" w:hAnsi="仿宋_GB2312" w:eastAsia="仿宋_GB2312" w:cs="仿宋_GB2312"/>
          <w:color w:val="auto"/>
          <w:spacing w:val="1"/>
          <w:sz w:val="32"/>
          <w:szCs w:val="32"/>
          <w:u w:val="single" w:color="auto"/>
          <w:lang w:val="en-US" w:eastAsia="zh-CN"/>
        </w:rPr>
        <w:t>4、被录入经营异常名录情况截图一份，证明</w:t>
      </w:r>
      <w:r>
        <w:rPr>
          <w:rFonts w:hint="eastAsia" w:ascii="仿宋_GB2312" w:hAnsi="仿宋_GB2312" w:eastAsia="仿宋_GB2312" w:cs="仿宋_GB2312"/>
          <w:spacing w:val="0"/>
          <w:sz w:val="32"/>
          <w:szCs w:val="32"/>
          <w:u w:val="single" w:color="auto"/>
          <w:lang w:val="en-US" w:eastAsia="zh-CN"/>
        </w:rPr>
        <w:t>策勒县伊坎库勒养殖农民专业合作社等21家合作社</w:t>
      </w:r>
      <w:r>
        <w:rPr>
          <w:rFonts w:hint="eastAsia" w:ascii="仿宋_GB2312" w:hAnsi="仿宋_GB2312" w:eastAsia="仿宋_GB2312" w:cs="仿宋_GB2312"/>
          <w:color w:val="auto"/>
          <w:spacing w:val="1"/>
          <w:sz w:val="32"/>
          <w:szCs w:val="32"/>
          <w:u w:val="single" w:color="auto"/>
          <w:lang w:val="en-US" w:eastAsia="zh-CN"/>
        </w:rPr>
        <w:t>违反《中华人民共和国农民专业合作社法》</w:t>
      </w:r>
      <w:r>
        <w:rPr>
          <w:rFonts w:hint="eastAsia" w:ascii="仿宋_GB2312" w:hAnsi="仿宋_GB2312" w:eastAsia="仿宋_GB2312" w:cs="仿宋_GB2312"/>
          <w:color w:val="auto"/>
          <w:sz w:val="32"/>
          <w:szCs w:val="32"/>
          <w:u w:val="single" w:color="auto"/>
          <w:lang w:val="en-US" w:eastAsia="zh-CN"/>
        </w:rPr>
        <w:t>相关规定，其经营状态处于非正常，需整改的状态。</w:t>
      </w:r>
      <w:r>
        <w:rPr>
          <w:rFonts w:hint="eastAsia" w:ascii="仿宋_GB2312" w:hAnsi="仿宋_GB2312" w:eastAsia="仿宋_GB2312" w:cs="仿宋_GB2312"/>
          <w:color w:val="auto"/>
          <w:spacing w:val="1"/>
          <w:sz w:val="32"/>
          <w:szCs w:val="32"/>
          <w:highlight w:val="none"/>
          <w:u w:val="single" w:color="auto"/>
          <w:lang w:val="en-US" w:eastAsia="zh-CN"/>
        </w:rPr>
        <w:t xml:space="preserve">  </w:t>
      </w:r>
      <w:r>
        <w:rPr>
          <w:rFonts w:hint="eastAsia" w:ascii="仿宋_GB2312" w:hAnsi="仿宋_GB2312" w:eastAsia="仿宋_GB2312" w:cs="仿宋_GB2312"/>
          <w:color w:val="auto"/>
          <w:spacing w:val="1"/>
          <w:sz w:val="32"/>
          <w:szCs w:val="32"/>
          <w:u w:val="single" w:color="auto"/>
          <w:lang w:val="en-US" w:eastAsia="zh-CN"/>
        </w:rPr>
        <w:t xml:space="preserve">                                    </w:t>
      </w:r>
    </w:p>
    <w:p w14:paraId="17D42A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right="0" w:rightChars="0" w:firstLine="322" w:firstLineChars="100"/>
        <w:textAlignment w:val="baseline"/>
        <w:rPr>
          <w:rFonts w:hint="default" w:ascii="仿宋" w:hAnsi="仿宋" w:eastAsia="仿宋" w:cs="仿宋"/>
          <w:spacing w:val="4"/>
          <w:sz w:val="32"/>
          <w:szCs w:val="32"/>
          <w:u w:val="single" w:color="auto"/>
          <w:lang w:val="en-US" w:eastAsia="zh-CN"/>
        </w:rPr>
      </w:pPr>
      <w:r>
        <w:rPr>
          <w:rFonts w:hint="eastAsia" w:ascii="仿宋_GB2312" w:hAnsi="仿宋_GB2312" w:eastAsia="仿宋_GB2312" w:cs="仿宋_GB2312"/>
          <w:color w:val="auto"/>
          <w:spacing w:val="1"/>
          <w:sz w:val="32"/>
          <w:szCs w:val="32"/>
          <w:u w:val="single" w:color="auto"/>
          <w:lang w:val="en-US" w:eastAsia="zh-CN"/>
        </w:rPr>
        <w:t>以上证据均由执法人员及相关部门签字盖章确认属实，本局予以采信，确认</w:t>
      </w:r>
      <w:r>
        <w:rPr>
          <w:rFonts w:hint="eastAsia" w:ascii="仿宋_GB2312" w:hAnsi="仿宋_GB2312" w:eastAsia="仿宋_GB2312" w:cs="仿宋_GB2312"/>
          <w:color w:val="auto"/>
          <w:spacing w:val="0"/>
          <w:sz w:val="32"/>
          <w:szCs w:val="32"/>
          <w:u w:val="single" w:color="auto"/>
          <w:lang w:val="en-US" w:eastAsia="zh-CN"/>
        </w:rPr>
        <w:t>策勒县伊坎库勒养殖农民专业合作社等21家合作社</w:t>
      </w:r>
      <w:r>
        <w:rPr>
          <w:rFonts w:hint="eastAsia" w:ascii="仿宋_GB2312" w:hAnsi="仿宋_GB2312" w:eastAsia="仿宋_GB2312" w:cs="仿宋_GB2312"/>
          <w:color w:val="auto"/>
          <w:spacing w:val="1"/>
          <w:sz w:val="32"/>
          <w:szCs w:val="32"/>
          <w:u w:val="single" w:color="auto"/>
          <w:lang w:val="en-US" w:eastAsia="zh-CN"/>
        </w:rPr>
        <w:t>的</w:t>
      </w:r>
      <w:r>
        <w:rPr>
          <w:rFonts w:hint="eastAsia" w:ascii="仿宋_GB2312" w:hAnsi="仿宋_GB2312" w:eastAsia="仿宋_GB2312" w:cs="仿宋_GB2312"/>
          <w:color w:val="auto"/>
          <w:sz w:val="32"/>
          <w:szCs w:val="32"/>
          <w:u w:val="single" w:color="auto"/>
          <w:lang w:val="en-US" w:eastAsia="zh-CN"/>
        </w:rPr>
        <w:t>未依法报送年度报告的</w:t>
      </w:r>
      <w:r>
        <w:rPr>
          <w:rFonts w:hint="eastAsia" w:ascii="仿宋_GB2312" w:hAnsi="仿宋_GB2312" w:eastAsia="仿宋_GB2312" w:cs="仿宋_GB2312"/>
          <w:color w:val="auto"/>
          <w:spacing w:val="1"/>
          <w:sz w:val="32"/>
          <w:szCs w:val="32"/>
          <w:u w:val="single" w:color="auto"/>
          <w:lang w:val="en-US" w:eastAsia="zh-CN"/>
        </w:rPr>
        <w:t>违法事实成立，应予处罚。</w:t>
      </w:r>
      <w:r>
        <w:rPr>
          <w:rFonts w:hint="eastAsia" w:ascii="仿宋" w:hAnsi="仿宋" w:eastAsia="仿宋" w:cs="仿宋"/>
          <w:spacing w:val="4"/>
          <w:sz w:val="32"/>
          <w:szCs w:val="32"/>
          <w:u w:val="single" w:color="auto"/>
          <w:lang w:val="en-US" w:eastAsia="zh-CN"/>
        </w:rPr>
        <w:t xml:space="preserve">              </w:t>
      </w:r>
    </w:p>
    <w:p w14:paraId="78D2D38E">
      <w:pPr>
        <w:keepNext w:val="0"/>
        <w:keepLines w:val="0"/>
        <w:pageBreakBefore w:val="0"/>
        <w:widowControl/>
        <w:kinsoku w:val="0"/>
        <w:wordWrap/>
        <w:overflowPunct/>
        <w:topLinePunct w:val="0"/>
        <w:autoSpaceDE w:val="0"/>
        <w:autoSpaceDN w:val="0"/>
        <w:bidi w:val="0"/>
        <w:adjustRightInd w:val="0"/>
        <w:snapToGrid w:val="0"/>
        <w:spacing w:line="560" w:lineRule="exact"/>
        <w:ind w:left="34" w:right="17" w:firstLine="373" w:firstLineChars="116"/>
        <w:jc w:val="left"/>
        <w:textAlignment w:val="baseline"/>
        <w:rPr>
          <w:rFonts w:hint="default" w:ascii="仿宋_GB2312" w:hAnsi="仿宋" w:eastAsia="仿宋_GB2312" w:cs="仿宋"/>
          <w:color w:val="auto"/>
          <w:sz w:val="30"/>
          <w:szCs w:val="30"/>
          <w:u w:val="single"/>
          <w:lang w:val="en-US" w:eastAsia="zh-CN"/>
        </w:rPr>
      </w:pPr>
      <w:r>
        <w:rPr>
          <w:rFonts w:ascii="楷体" w:hAnsi="楷体" w:eastAsia="楷体" w:cs="楷体"/>
          <w:color w:val="231F20"/>
          <w:spacing w:val="1"/>
          <w:sz w:val="32"/>
          <w:szCs w:val="32"/>
          <w:u w:val="none"/>
          <w14:textOutline w14:w="5793" w14:cap="sq" w14:cmpd="sng">
            <w14:solidFill>
              <w14:srgbClr w14:val="231F20"/>
            </w14:solidFill>
            <w14:prstDash w14:val="solid"/>
            <w14:bevel/>
          </w14:textOutline>
        </w:rPr>
        <w:t>（行政处罚告知情况，当事人陈述、申辩、听证意见，复核以及采纳情况和理由）</w:t>
      </w:r>
      <w:r>
        <w:rPr>
          <w:rFonts w:hint="eastAsia" w:ascii="仿宋" w:hAnsi="仿宋" w:eastAsia="仿宋" w:cs="仿宋"/>
          <w:color w:val="auto"/>
          <w:sz w:val="32"/>
          <w:szCs w:val="32"/>
          <w:u w:val="single" w:color="auto"/>
          <w:lang w:val="en-US" w:eastAsia="zh-CN"/>
        </w:rPr>
        <w:t>本局于2025年9月17日依法向</w:t>
      </w:r>
      <w:r>
        <w:rPr>
          <w:rFonts w:hint="eastAsia" w:ascii="仿宋_GB2312" w:hAnsi="仿宋_GB2312" w:eastAsia="仿宋_GB2312" w:cs="仿宋_GB2312"/>
          <w:spacing w:val="0"/>
          <w:sz w:val="32"/>
          <w:szCs w:val="32"/>
          <w:u w:val="single" w:color="auto"/>
          <w:lang w:val="en-US" w:eastAsia="zh-CN"/>
        </w:rPr>
        <w:t>策勒县伊坎库勒养殖农民专业合作社等21家合作社</w:t>
      </w:r>
      <w:r>
        <w:rPr>
          <w:rFonts w:hint="eastAsia" w:ascii="仿宋" w:hAnsi="仿宋" w:eastAsia="仿宋" w:cs="仿宋"/>
          <w:color w:val="auto"/>
          <w:sz w:val="32"/>
          <w:szCs w:val="32"/>
          <w:u w:val="single" w:color="auto"/>
          <w:lang w:val="en-US" w:eastAsia="zh-CN"/>
        </w:rPr>
        <w:t>下达了和策市监罚告【2025】77号行政处罚告知书，同时</w:t>
      </w:r>
      <w:r>
        <w:rPr>
          <w:rFonts w:hint="eastAsia" w:ascii="仿宋_GB2312" w:hAnsi="仿宋_GB2312" w:eastAsia="仿宋_GB2312" w:cs="仿宋_GB2312"/>
          <w:color w:val="auto"/>
          <w:spacing w:val="0"/>
          <w:sz w:val="32"/>
          <w:szCs w:val="32"/>
          <w:highlight w:val="none"/>
          <w:u w:val="single" w:color="auto"/>
          <w:lang w:val="en-US" w:eastAsia="zh-CN"/>
        </w:rPr>
        <w:t>国家企业信用信息公示系统（部门协同监管平台-新疆）</w:t>
      </w:r>
      <w:r>
        <w:rPr>
          <w:rFonts w:hint="eastAsia" w:ascii="仿宋" w:hAnsi="仿宋" w:eastAsia="仿宋" w:cs="仿宋"/>
          <w:color w:val="auto"/>
          <w:sz w:val="32"/>
          <w:szCs w:val="32"/>
          <w:u w:val="single" w:color="auto"/>
          <w:lang w:val="en-US" w:eastAsia="zh-CN"/>
        </w:rPr>
        <w:t>并策勒县人民政府网站发布送达公告，依法告知处罚依据，当事人的权利和义务，救济途径等事项，以上</w:t>
      </w:r>
      <w:r>
        <w:rPr>
          <w:rFonts w:hint="eastAsia" w:ascii="仿宋" w:hAnsi="仿宋" w:eastAsia="仿宋" w:cs="仿宋"/>
          <w:spacing w:val="4"/>
          <w:sz w:val="32"/>
          <w:szCs w:val="32"/>
          <w:u w:val="single"/>
          <w:lang w:val="en-US" w:eastAsia="zh-CN"/>
        </w:rPr>
        <w:t>21家合作社</w:t>
      </w:r>
      <w:r>
        <w:rPr>
          <w:rFonts w:hint="eastAsia" w:ascii="仿宋" w:hAnsi="仿宋" w:eastAsia="仿宋" w:cs="仿宋"/>
          <w:color w:val="auto"/>
          <w:sz w:val="32"/>
          <w:szCs w:val="32"/>
          <w:u w:val="single" w:color="auto"/>
          <w:lang w:val="en-US" w:eastAsia="zh-CN"/>
        </w:rPr>
        <w:t>法定期限（30日）内未</w:t>
      </w:r>
      <w:r>
        <w:rPr>
          <w:rFonts w:hint="eastAsia" w:ascii="仿宋_GB2312" w:hAnsi="仿宋_GB2312" w:eastAsia="仿宋_GB2312" w:cs="仿宋_GB2312"/>
          <w:sz w:val="32"/>
          <w:szCs w:val="32"/>
          <w:u w:val="single" w:color="auto"/>
          <w:lang w:val="en-US" w:eastAsia="zh-CN"/>
        </w:rPr>
        <w:t>提出陈述，申辩或听证申请。</w:t>
      </w:r>
      <w:r>
        <w:rPr>
          <w:rFonts w:hint="eastAsia" w:ascii="仿宋" w:hAnsi="仿宋" w:eastAsia="仿宋" w:cs="仿宋"/>
          <w:color w:val="auto"/>
          <w:sz w:val="32"/>
          <w:szCs w:val="32"/>
          <w:u w:val="single" w:color="auto"/>
          <w:lang w:val="en-US" w:eastAsia="zh-CN"/>
        </w:rPr>
        <w:t xml:space="preserve">   </w:t>
      </w:r>
      <w:r>
        <w:rPr>
          <w:rFonts w:hint="eastAsia" w:ascii="仿宋" w:hAnsi="仿宋" w:eastAsia="仿宋" w:cs="仿宋"/>
          <w:color w:val="auto"/>
          <w:spacing w:val="-31"/>
          <w:sz w:val="32"/>
          <w:szCs w:val="32"/>
          <w:u w:val="single" w:color="auto"/>
          <w:lang w:val="en-US" w:eastAsia="zh-CN"/>
        </w:rPr>
        <w:t xml:space="preserve">                                                                   </w:t>
      </w:r>
    </w:p>
    <w:p w14:paraId="7D7A5CC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line="560" w:lineRule="exact"/>
        <w:ind w:right="17" w:rightChars="0" w:firstLine="476" w:firstLineChars="200"/>
        <w:jc w:val="both"/>
        <w:textAlignment w:val="baseline"/>
        <w:rPr>
          <w:rFonts w:hint="default" w:ascii="仿宋" w:hAnsi="仿宋" w:eastAsia="仿宋" w:cs="仿宋"/>
          <w:b/>
          <w:bCs/>
          <w:spacing w:val="-15"/>
          <w:sz w:val="32"/>
          <w:szCs w:val="32"/>
          <w:lang w:val="en-US"/>
        </w:rPr>
      </w:pPr>
      <w:r>
        <w:rPr>
          <w:rFonts w:hint="eastAsia" w:ascii="仿宋" w:hAnsi="仿宋" w:eastAsia="仿宋" w:cs="仿宋"/>
          <w:spacing w:val="-41"/>
          <w:sz w:val="32"/>
          <w:szCs w:val="32"/>
          <w:lang w:eastAsia="zh-CN"/>
        </w:rPr>
        <w:t>（</w:t>
      </w:r>
      <w:r>
        <w:rPr>
          <w:rFonts w:ascii="楷体" w:hAnsi="楷体" w:eastAsia="楷体" w:cs="楷体"/>
          <w:color w:val="231F20"/>
          <w:spacing w:val="-3"/>
          <w:sz w:val="32"/>
          <w:szCs w:val="32"/>
          <w:u w:val="single" w:color="auto"/>
          <w14:textOutline w14:w="5793" w14:cap="sq" w14:cmpd="sng">
            <w14:solidFill>
              <w14:srgbClr w14:val="231F20"/>
            </w14:solidFill>
            <w14:prstDash w14:val="solid"/>
            <w14:bevel/>
          </w14:textOutline>
        </w:rPr>
        <w:t>违法行为性质及定性、处罚依据）</w:t>
      </w:r>
      <w:r>
        <w:rPr>
          <w:rFonts w:ascii="仿宋" w:hAnsi="仿宋" w:eastAsia="仿宋" w:cs="仿宋"/>
          <w:spacing w:val="-3"/>
          <w:sz w:val="32"/>
          <w:szCs w:val="32"/>
          <w:u w:val="single"/>
        </w:rPr>
        <w:t>本局认为</w:t>
      </w:r>
      <w:r>
        <w:rPr>
          <w:rFonts w:ascii="仿宋" w:hAnsi="仿宋" w:eastAsia="仿宋" w:cs="仿宋"/>
          <w:spacing w:val="-41"/>
          <w:sz w:val="32"/>
          <w:szCs w:val="32"/>
          <w:u w:val="single"/>
        </w:rPr>
        <w:t>，</w:t>
      </w:r>
      <w:r>
        <w:rPr>
          <w:rFonts w:hint="eastAsia" w:ascii="仿宋_GB2312" w:hAnsi="仿宋_GB2312" w:eastAsia="仿宋_GB2312" w:cs="仿宋_GB2312"/>
          <w:spacing w:val="0"/>
          <w:sz w:val="32"/>
          <w:szCs w:val="32"/>
          <w:u w:val="single" w:color="auto"/>
          <w:lang w:val="en-US" w:eastAsia="zh-CN"/>
        </w:rPr>
        <w:t>策勒县伊坎库勒养殖农民专业合作社等21家合作社涉嫌企业连续两年未按规定报送年度报告行为</w:t>
      </w:r>
      <w:r>
        <w:rPr>
          <w:rFonts w:hint="eastAsia" w:ascii="仿宋_GB2312" w:hAnsi="仿宋_GB2312" w:eastAsia="仿宋_GB2312" w:cs="仿宋_GB2312"/>
          <w:sz w:val="32"/>
          <w:szCs w:val="32"/>
          <w:u w:val="single" w:color="auto"/>
          <w:lang w:val="en-US" w:eastAsia="zh-CN"/>
        </w:rPr>
        <w:t>，涉嫌违反了</w:t>
      </w:r>
      <w:r>
        <w:rPr>
          <w:rFonts w:hint="eastAsia" w:ascii="仿宋_GB2312" w:hAnsi="仿宋_GB2312" w:eastAsia="仿宋_GB2312" w:cs="仿宋_GB2312"/>
          <w:color w:val="auto"/>
          <w:spacing w:val="1"/>
          <w:sz w:val="32"/>
          <w:szCs w:val="32"/>
          <w:u w:val="single" w:color="auto"/>
          <w:lang w:val="en-US" w:eastAsia="zh-CN"/>
        </w:rPr>
        <w:t>《中华人民共和国农民专业合作社法》</w:t>
      </w:r>
      <w:r>
        <w:rPr>
          <w:rFonts w:hint="eastAsia" w:ascii="仿宋_GB2312" w:hAnsi="仿宋_GB2312" w:eastAsia="仿宋_GB2312" w:cs="仿宋_GB2312"/>
          <w:sz w:val="32"/>
          <w:szCs w:val="32"/>
          <w:u w:val="single" w:color="auto"/>
          <w:lang w:val="en-US" w:eastAsia="zh-CN"/>
        </w:rPr>
        <w:t>第</w:t>
      </w:r>
      <w:r>
        <w:rPr>
          <w:rFonts w:hint="eastAsia" w:ascii="仿宋_GB2312" w:hAnsi="仿宋_GB2312" w:eastAsia="仿宋_GB2312" w:cs="仿宋_GB2312"/>
          <w:color w:val="auto"/>
          <w:spacing w:val="1"/>
          <w:sz w:val="32"/>
          <w:szCs w:val="32"/>
          <w:u w:val="single" w:color="auto"/>
          <w:lang w:val="en-US" w:eastAsia="zh-CN"/>
        </w:rPr>
        <w:t>十七条</w:t>
      </w:r>
      <w:r>
        <w:rPr>
          <w:rFonts w:hint="eastAsia" w:ascii="仿宋_GB2312" w:hAnsi="仿宋_GB2312" w:eastAsia="仿宋_GB2312" w:cs="仿宋_GB2312"/>
          <w:sz w:val="32"/>
          <w:szCs w:val="32"/>
          <w:u w:val="single" w:color="auto"/>
          <w:lang w:val="en-US" w:eastAsia="zh-CN"/>
        </w:rPr>
        <w:t>（农民专业合作应当按照国家规定，向登记机关报送年度报告，并向社会公示）之规定，构成社连续两年</w:t>
      </w:r>
      <w:r>
        <w:rPr>
          <w:rFonts w:hint="eastAsia" w:ascii="仿宋_GB2312" w:hAnsi="仿宋_GB2312" w:eastAsia="仿宋_GB2312" w:cs="仿宋_GB2312"/>
          <w:spacing w:val="0"/>
          <w:sz w:val="32"/>
          <w:szCs w:val="32"/>
          <w:u w:val="single"/>
          <w:lang w:val="en-US" w:eastAsia="zh-CN"/>
        </w:rPr>
        <w:t>未报送年度报告</w:t>
      </w:r>
      <w:r>
        <w:rPr>
          <w:rFonts w:hint="eastAsia" w:ascii="仿宋_GB2312" w:hAnsi="仿宋_GB2312" w:eastAsia="仿宋_GB2312" w:cs="仿宋_GB2312"/>
          <w:sz w:val="32"/>
          <w:szCs w:val="32"/>
          <w:u w:val="single" w:color="auto"/>
          <w:lang w:val="en-US" w:eastAsia="zh-CN"/>
        </w:rPr>
        <w:t>的违法行为。依据</w:t>
      </w:r>
      <w:r>
        <w:rPr>
          <w:rFonts w:hint="eastAsia" w:ascii="仿宋_GB2312" w:hAnsi="仿宋_GB2312" w:eastAsia="仿宋_GB2312" w:cs="仿宋_GB2312"/>
          <w:color w:val="auto"/>
          <w:spacing w:val="1"/>
          <w:sz w:val="32"/>
          <w:szCs w:val="32"/>
          <w:u w:val="single" w:color="auto"/>
          <w:lang w:val="en-US" w:eastAsia="zh-CN"/>
        </w:rPr>
        <w:t>《中华人民共和国农民专业合作社法》</w:t>
      </w:r>
      <w:r>
        <w:rPr>
          <w:rFonts w:hint="eastAsia" w:ascii="仿宋_GB2312" w:hAnsi="仿宋_GB2312" w:eastAsia="仿宋_GB2312" w:cs="仿宋_GB2312"/>
          <w:sz w:val="32"/>
          <w:szCs w:val="32"/>
          <w:u w:val="single" w:color="auto"/>
          <w:lang w:val="en-US" w:eastAsia="zh-CN"/>
        </w:rPr>
        <w:t>第</w:t>
      </w:r>
      <w:r>
        <w:rPr>
          <w:rFonts w:hint="eastAsia" w:ascii="仿宋_GB2312" w:hAnsi="仿宋_GB2312" w:eastAsia="仿宋_GB2312" w:cs="仿宋_GB2312"/>
          <w:color w:val="auto"/>
          <w:spacing w:val="1"/>
          <w:sz w:val="32"/>
          <w:szCs w:val="32"/>
          <w:u w:val="single" w:color="auto"/>
          <w:lang w:val="en-US" w:eastAsia="zh-CN"/>
        </w:rPr>
        <w:t>七十一条</w:t>
      </w:r>
      <w:r>
        <w:rPr>
          <w:rFonts w:hint="eastAsia" w:ascii="仿宋_GB2312" w:hAnsi="仿宋_GB2312" w:eastAsia="仿宋_GB2312" w:cs="仿宋_GB2312"/>
          <w:sz w:val="32"/>
          <w:szCs w:val="32"/>
          <w:u w:val="single" w:color="auto"/>
          <w:lang w:val="en-US" w:eastAsia="zh-CN"/>
        </w:rPr>
        <w:t>（农民专业合作社连续两年未从事经营活动的，吊销其营业执照。）之规定，</w:t>
      </w:r>
      <w:r>
        <w:rPr>
          <w:rFonts w:hint="eastAsia" w:ascii="仿宋" w:hAnsi="仿宋" w:eastAsia="仿宋" w:cs="仿宋"/>
          <w:sz w:val="32"/>
          <w:szCs w:val="32"/>
          <w:u w:val="single" w:color="auto"/>
          <w:lang w:val="en-US" w:eastAsia="zh-CN"/>
        </w:rPr>
        <w:t>予以行政处罚。</w:t>
      </w:r>
      <w:r>
        <w:rPr>
          <w:rFonts w:hint="eastAsia" w:ascii="仿宋_GB2312" w:hAnsi="仿宋_GB2312" w:eastAsia="仿宋_GB2312" w:cs="仿宋_GB2312"/>
          <w:sz w:val="32"/>
          <w:szCs w:val="32"/>
          <w:u w:val="single" w:color="auto"/>
          <w:lang w:val="en-US" w:eastAsia="zh-CN"/>
        </w:rPr>
        <w:t xml:space="preserve">                                       </w:t>
      </w:r>
      <w:r>
        <w:rPr>
          <w:rFonts w:hint="eastAsia" w:ascii="仿宋" w:hAnsi="仿宋" w:eastAsia="仿宋" w:cs="仿宋"/>
          <w:spacing w:val="4"/>
          <w:sz w:val="32"/>
          <w:szCs w:val="32"/>
          <w:u w:val="single" w:color="auto"/>
          <w:lang w:val="en-US" w:eastAsia="zh-CN"/>
        </w:rPr>
        <w:t xml:space="preserve">    </w:t>
      </w:r>
    </w:p>
    <w:p w14:paraId="51E116EF">
      <w:pPr>
        <w:keepNext w:val="0"/>
        <w:keepLines w:val="0"/>
        <w:pageBreakBefore w:val="0"/>
        <w:widowControl/>
        <w:kinsoku w:val="0"/>
        <w:wordWrap/>
        <w:overflowPunct/>
        <w:topLinePunct w:val="0"/>
        <w:autoSpaceDE w:val="0"/>
        <w:autoSpaceDN w:val="0"/>
        <w:bidi w:val="0"/>
        <w:adjustRightInd w:val="0"/>
        <w:snapToGrid w:val="0"/>
        <w:spacing w:line="560" w:lineRule="exact"/>
        <w:ind w:firstLine="298" w:firstLineChars="100"/>
        <w:textAlignment w:val="baseline"/>
        <w:rPr>
          <w:rFonts w:hint="default" w:ascii="仿宋" w:hAnsi="仿宋" w:eastAsia="仿宋" w:cs="仿宋"/>
          <w:sz w:val="32"/>
          <w:szCs w:val="32"/>
          <w:u w:val="single" w:color="auto"/>
          <w:lang w:val="en-US" w:eastAsia="zh-CN"/>
        </w:rPr>
      </w:pPr>
      <w:r>
        <w:rPr>
          <w:rFonts w:ascii="楷体" w:hAnsi="楷体" w:eastAsia="楷体" w:cs="楷体"/>
          <w:color w:val="231F20"/>
          <w:spacing w:val="-11"/>
          <w:sz w:val="32"/>
          <w:szCs w:val="32"/>
          <w:u w:val="none" w:color="auto"/>
          <w14:textOutline w14:w="5793" w14:cap="sq" w14:cmpd="sng">
            <w14:solidFill>
              <w14:srgbClr w14:val="231F20"/>
            </w14:solidFill>
            <w14:prstDash w14:val="solid"/>
            <w14:bevel/>
          </w14:textOutline>
        </w:rPr>
        <w:t>（</w:t>
      </w:r>
      <w:r>
        <w:rPr>
          <w:rFonts w:ascii="楷体" w:hAnsi="楷体" w:eastAsia="楷体" w:cs="楷体"/>
          <w:color w:val="231F20"/>
          <w:spacing w:val="-15"/>
          <w:sz w:val="32"/>
          <w:szCs w:val="32"/>
          <w:u w:val="none" w:color="auto"/>
        </w:rPr>
        <w:t xml:space="preserve"> </w:t>
      </w:r>
      <w:r>
        <w:rPr>
          <w:rFonts w:ascii="楷体" w:hAnsi="楷体" w:eastAsia="楷体" w:cs="楷体"/>
          <w:color w:val="231F20"/>
          <w:spacing w:val="-11"/>
          <w:sz w:val="32"/>
          <w:szCs w:val="32"/>
          <w:u w:val="none" w:color="auto"/>
          <w14:textOutline w14:w="5793" w14:cap="sq" w14:cmpd="sng">
            <w14:solidFill>
              <w14:srgbClr w14:val="231F20"/>
            </w14:solidFill>
            <w14:prstDash w14:val="solid"/>
            <w14:bevel/>
          </w14:textOutline>
        </w:rPr>
        <w:t>自由裁量的事实和理由）</w:t>
      </w:r>
      <w:r>
        <w:rPr>
          <w:rFonts w:hint="eastAsia" w:ascii="楷体" w:hAnsi="楷体" w:eastAsia="楷体" w:cs="楷体"/>
          <w:color w:val="231F20"/>
          <w:spacing w:val="-11"/>
          <w:sz w:val="32"/>
          <w:szCs w:val="32"/>
          <w:u w:val="none" w:color="auto"/>
          <w:lang w:val="en-US" w:eastAsia="zh-CN"/>
          <w14:textOutline w14:w="5793" w14:cap="sq" w14:cmpd="sng">
            <w14:solidFill>
              <w14:srgbClr w14:val="231F20"/>
            </w14:solidFill>
            <w14:prstDash w14:val="solid"/>
            <w14:bevel/>
          </w14:textOutline>
        </w:rPr>
        <w:t xml:space="preserve"> </w:t>
      </w:r>
      <w:r>
        <w:rPr>
          <w:rFonts w:hint="eastAsia" w:ascii="仿宋_GB2312" w:hAnsi="仿宋_GB2312" w:eastAsia="仿宋_GB2312" w:cs="仿宋_GB2312"/>
          <w:snapToGrid w:val="0"/>
          <w:color w:val="auto"/>
          <w:kern w:val="0"/>
          <w:sz w:val="32"/>
          <w:szCs w:val="32"/>
          <w:u w:val="single" w:color="auto"/>
          <w:lang w:val="en-US" w:eastAsia="zh-CN"/>
        </w:rPr>
        <w:t>在本案调查过程中，</w:t>
      </w:r>
      <w:r>
        <w:rPr>
          <w:rFonts w:hint="eastAsia" w:ascii="仿宋_GB2312" w:hAnsi="仿宋_GB2312" w:eastAsia="仿宋_GB2312" w:cs="仿宋_GB2312"/>
          <w:color w:val="auto"/>
          <w:spacing w:val="0"/>
          <w:sz w:val="32"/>
          <w:szCs w:val="32"/>
          <w:u w:val="single" w:color="auto"/>
          <w:lang w:val="en-US" w:eastAsia="zh-CN"/>
        </w:rPr>
        <w:t>策勒县伊坎库勒养殖农民专业合作社等21家合作社</w:t>
      </w:r>
      <w:r>
        <w:rPr>
          <w:rFonts w:hint="eastAsia" w:ascii="仿宋_GB2312" w:hAnsi="仿宋_GB2312" w:eastAsia="仿宋_GB2312" w:cs="仿宋_GB2312"/>
          <w:color w:val="auto"/>
          <w:sz w:val="32"/>
          <w:szCs w:val="32"/>
          <w:u w:val="single" w:color="auto"/>
          <w:lang w:val="en-US" w:eastAsia="zh-CN"/>
        </w:rPr>
        <w:t>在停止经营活动并从注册登记的经营场所中搬走以后长期未办理注销或变更登记，且连续2年未按要求报送年度报告，截至目前无法联系。以上情节属于情节严重，符合《关于规范市场监督管理行政处罚裁量权的指导意见》第十六条有下列情形之一的，可以依法从重行政处罚：第一款“（七）其他依法可以从重行政处罚”的规定。上述情形符合《市场监督管理严重违法失信名单管理办法》第二条第二款第（二）项之规定，本</w:t>
      </w:r>
      <w:r>
        <w:rPr>
          <w:rFonts w:hint="eastAsia" w:ascii="仿宋" w:hAnsi="仿宋" w:eastAsia="仿宋" w:cs="仿宋"/>
          <w:color w:val="auto"/>
          <w:sz w:val="32"/>
          <w:szCs w:val="32"/>
          <w:u w:val="single" w:color="auto"/>
          <w:lang w:val="en-US" w:eastAsia="zh-CN"/>
        </w:rPr>
        <w:t xml:space="preserve">案自审查以来，整个程序均按照法律规定进行，程序合法。 </w:t>
      </w:r>
      <w:r>
        <w:rPr>
          <w:rFonts w:hint="eastAsia" w:ascii="仿宋_GB2312" w:hAnsi="仿宋_GB2312" w:eastAsia="仿宋_GB2312" w:cs="仿宋_GB2312"/>
          <w:color w:val="auto"/>
          <w:sz w:val="32"/>
          <w:szCs w:val="32"/>
          <w:highlight w:val="none"/>
          <w:u w:val="single" w:color="auto"/>
          <w:lang w:val="en-US" w:eastAsia="zh-CN" w:bidi="ar-SA"/>
        </w:rPr>
        <w:t xml:space="preserve">  </w:t>
      </w:r>
      <w:r>
        <w:rPr>
          <w:rFonts w:hint="eastAsia" w:ascii="仿宋_GB2312" w:hAnsi="仿宋_GB2312" w:eastAsia="仿宋_GB2312" w:cs="仿宋_GB2312"/>
          <w:color w:val="auto"/>
          <w:sz w:val="32"/>
          <w:szCs w:val="32"/>
          <w:u w:val="single" w:color="auto"/>
          <w:lang w:val="en-US" w:eastAsia="zh-CN" w:bidi="ar-SA"/>
        </w:rPr>
        <w:t xml:space="preserve">           </w:t>
      </w:r>
      <w:r>
        <w:rPr>
          <w:rFonts w:hint="eastAsia" w:ascii="仿宋" w:hAnsi="仿宋" w:eastAsia="仿宋" w:cs="仿宋"/>
          <w:sz w:val="32"/>
          <w:szCs w:val="32"/>
          <w:u w:val="single"/>
          <w:lang w:val="en-US" w:eastAsia="zh-CN"/>
        </w:rPr>
        <w:t xml:space="preserve">                                  </w:t>
      </w:r>
      <w:r>
        <w:rPr>
          <w:rFonts w:hint="eastAsia" w:ascii="仿宋_GB2312" w:hAnsi="仿宋" w:eastAsia="仿宋_GB2312" w:cs="仿宋"/>
          <w:sz w:val="32"/>
          <w:szCs w:val="32"/>
          <w:u w:val="single"/>
          <w:lang w:val="en-US" w:eastAsia="zh-CN"/>
        </w:rPr>
        <w:t xml:space="preserve">      </w:t>
      </w:r>
    </w:p>
    <w:p w14:paraId="6BC66A6B">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kern w:val="1"/>
          <w:sz w:val="32"/>
          <w:szCs w:val="32"/>
          <w:u w:val="single"/>
          <w:lang w:val="en-US" w:eastAsia="zh-CN"/>
        </w:rPr>
      </w:pPr>
      <w:r>
        <w:rPr>
          <w:rFonts w:hint="eastAsia" w:ascii="仿宋_GB2312" w:hAnsi="仿宋_GB2312" w:eastAsia="仿宋_GB2312" w:cs="仿宋_GB2312"/>
          <w:b/>
          <w:bCs/>
          <w:kern w:val="1"/>
          <w:sz w:val="32"/>
          <w:szCs w:val="32"/>
          <w:u w:val="none"/>
          <w:lang w:val="en-US" w:eastAsia="zh-CN"/>
        </w:rPr>
        <w:t>处理意见及依据：</w:t>
      </w:r>
      <w:r>
        <w:rPr>
          <w:rFonts w:hint="eastAsia" w:ascii="仿宋_GB2312" w:hAnsi="仿宋_GB2312" w:eastAsia="仿宋_GB2312" w:cs="仿宋_GB2312"/>
          <w:sz w:val="32"/>
          <w:szCs w:val="32"/>
          <w:u w:val="single" w:color="auto"/>
          <w:lang w:val="en-US" w:eastAsia="zh-CN"/>
        </w:rPr>
        <w:t>依据</w:t>
      </w:r>
      <w:r>
        <w:rPr>
          <w:rFonts w:hint="eastAsia" w:ascii="仿宋_GB2312" w:hAnsi="仿宋_GB2312" w:eastAsia="仿宋_GB2312" w:cs="仿宋_GB2312"/>
          <w:color w:val="auto"/>
          <w:spacing w:val="1"/>
          <w:sz w:val="32"/>
          <w:szCs w:val="32"/>
          <w:u w:val="single" w:color="auto"/>
          <w:lang w:val="en-US" w:eastAsia="zh-CN"/>
        </w:rPr>
        <w:t>《中华人民共和国农民专业合作社法》</w:t>
      </w:r>
      <w:r>
        <w:rPr>
          <w:rFonts w:hint="eastAsia" w:ascii="仿宋_GB2312" w:hAnsi="仿宋_GB2312" w:eastAsia="仿宋_GB2312" w:cs="仿宋_GB2312"/>
          <w:sz w:val="32"/>
          <w:szCs w:val="32"/>
          <w:u w:val="single" w:color="auto"/>
          <w:lang w:val="en-US" w:eastAsia="zh-CN"/>
        </w:rPr>
        <w:t>第</w:t>
      </w:r>
      <w:r>
        <w:rPr>
          <w:rFonts w:hint="eastAsia" w:ascii="仿宋_GB2312" w:hAnsi="仿宋_GB2312" w:eastAsia="仿宋_GB2312" w:cs="仿宋_GB2312"/>
          <w:color w:val="auto"/>
          <w:spacing w:val="1"/>
          <w:sz w:val="32"/>
          <w:szCs w:val="32"/>
          <w:u w:val="single" w:color="auto"/>
          <w:lang w:val="en-US" w:eastAsia="zh-CN"/>
        </w:rPr>
        <w:t>七十一条</w:t>
      </w:r>
      <w:r>
        <w:rPr>
          <w:rFonts w:hint="eastAsia" w:ascii="仿宋_GB2312" w:hAnsi="仿宋_GB2312" w:eastAsia="仿宋_GB2312" w:cs="仿宋_GB2312"/>
          <w:sz w:val="32"/>
          <w:szCs w:val="32"/>
          <w:u w:val="single" w:color="auto"/>
          <w:lang w:val="en-US" w:eastAsia="zh-CN"/>
        </w:rPr>
        <w:t>（农民专业合作社连续两年未从事经营活动的，吊销其营业执照。）之规定</w:t>
      </w:r>
      <w:r>
        <w:rPr>
          <w:rFonts w:hint="eastAsia" w:ascii="仿宋_GB2312" w:hAnsi="仿宋_GB2312" w:eastAsia="仿宋_GB2312" w:cs="仿宋_GB2312"/>
          <w:kern w:val="1"/>
          <w:sz w:val="32"/>
          <w:szCs w:val="32"/>
          <w:highlight w:val="none"/>
          <w:u w:val="single"/>
          <w:lang w:val="en-US" w:eastAsia="zh-CN"/>
        </w:rPr>
        <w:t>，决定对</w:t>
      </w:r>
      <w:r>
        <w:rPr>
          <w:rFonts w:hint="eastAsia" w:ascii="仿宋_GB2312" w:hAnsi="仿宋_GB2312" w:eastAsia="仿宋_GB2312" w:cs="仿宋_GB2312"/>
          <w:spacing w:val="0"/>
          <w:sz w:val="32"/>
          <w:szCs w:val="32"/>
          <w:u w:val="single" w:color="auto"/>
          <w:lang w:val="en-US" w:eastAsia="zh-CN"/>
        </w:rPr>
        <w:t>策勒县伊坎库勒养殖农民专业合作社等21家合作社</w:t>
      </w:r>
      <w:r>
        <w:rPr>
          <w:rFonts w:hint="eastAsia" w:ascii="仿宋_GB2312" w:hAnsi="仿宋_GB2312" w:eastAsia="仿宋_GB2312" w:cs="仿宋_GB2312"/>
          <w:kern w:val="1"/>
          <w:sz w:val="32"/>
          <w:szCs w:val="32"/>
          <w:highlight w:val="none"/>
          <w:u w:val="single"/>
          <w:lang w:val="en-US" w:eastAsia="zh-CN"/>
        </w:rPr>
        <w:t>以下从</w:t>
      </w:r>
      <w:r>
        <w:rPr>
          <w:rFonts w:hint="eastAsia" w:ascii="仿宋_GB2312" w:hAnsi="仿宋_GB2312" w:eastAsia="仿宋_GB2312" w:cs="仿宋_GB2312"/>
          <w:kern w:val="1"/>
          <w:sz w:val="32"/>
          <w:szCs w:val="32"/>
          <w:u w:val="single"/>
          <w:lang w:val="en-US" w:eastAsia="zh-CN"/>
        </w:rPr>
        <w:t xml:space="preserve">重行政处罚：吊销营业执照。                                                            </w:t>
      </w:r>
    </w:p>
    <w:p w14:paraId="76122E2A">
      <w:pPr>
        <w:keepNext w:val="0"/>
        <w:keepLines w:val="0"/>
        <w:pageBreakBefore w:val="0"/>
        <w:widowControl/>
        <w:kinsoku w:val="0"/>
        <w:wordWrap/>
        <w:overflowPunct/>
        <w:topLinePunct w:val="0"/>
        <w:autoSpaceDE w:val="0"/>
        <w:autoSpaceDN w:val="0"/>
        <w:bidi w:val="0"/>
        <w:adjustRightInd w:val="0"/>
        <w:snapToGrid w:val="0"/>
        <w:spacing w:line="560" w:lineRule="exact"/>
        <w:ind w:firstLine="320" w:firstLineChars="100"/>
        <w:jc w:val="both"/>
        <w:textAlignment w:val="baseline"/>
        <w:rPr>
          <w:rFonts w:hint="default" w:ascii="仿宋_GB2312" w:hAnsi="仿宋" w:eastAsia="仿宋_GB2312" w:cs="仿宋"/>
          <w:color w:val="auto"/>
          <w:sz w:val="32"/>
          <w:szCs w:val="32"/>
          <w:u w:val="single"/>
          <w:lang w:val="en-US" w:eastAsia="zh-CN"/>
        </w:rPr>
      </w:pPr>
      <w:r>
        <w:rPr>
          <w:rFonts w:hint="eastAsia" w:ascii="仿宋" w:hAnsi="仿宋" w:eastAsia="仿宋" w:cs="仿宋"/>
          <w:sz w:val="32"/>
          <w:szCs w:val="32"/>
          <w:highlight w:val="none"/>
          <w:u w:val="single"/>
          <w:lang w:val="en-US" w:eastAsia="zh-CN"/>
        </w:rPr>
        <w:t>附件：</w:t>
      </w:r>
      <w:r>
        <w:rPr>
          <w:rFonts w:hint="eastAsia" w:ascii="仿宋_GB2312" w:hAnsi="仿宋_GB2312" w:eastAsia="仿宋_GB2312" w:cs="仿宋_GB2312"/>
          <w:spacing w:val="0"/>
          <w:sz w:val="32"/>
          <w:szCs w:val="32"/>
          <w:u w:val="single" w:color="auto"/>
          <w:lang w:val="en-US" w:eastAsia="zh-CN"/>
        </w:rPr>
        <w:t>策勒县昆仑之子种养殖专业合作社等21家合作</w:t>
      </w:r>
      <w:r>
        <w:rPr>
          <w:rFonts w:hint="eastAsia" w:ascii="仿宋" w:hAnsi="仿宋" w:eastAsia="仿宋" w:cs="仿宋"/>
          <w:sz w:val="32"/>
          <w:szCs w:val="32"/>
          <w:u w:val="single" w:color="auto"/>
          <w:lang w:val="en-US" w:eastAsia="zh-CN"/>
        </w:rPr>
        <w:t>名单</w:t>
      </w:r>
      <w:r>
        <w:rPr>
          <w:rFonts w:hint="eastAsia" w:ascii="仿宋_GB2312" w:hAnsi="仿宋_GB2312" w:eastAsia="仿宋_GB2312" w:cs="仿宋_GB2312"/>
          <w:kern w:val="1"/>
          <w:sz w:val="32"/>
          <w:szCs w:val="32"/>
          <w:u w:val="single"/>
          <w:lang w:val="en-US" w:eastAsia="zh-CN"/>
        </w:rPr>
        <w:t xml:space="preserve">      </w:t>
      </w:r>
      <w:r>
        <w:rPr>
          <w:rFonts w:hint="eastAsia" w:ascii="仿宋_GB2312" w:hAnsi="仿宋" w:eastAsia="仿宋_GB2312" w:cs="仿宋"/>
          <w:color w:val="auto"/>
          <w:sz w:val="32"/>
          <w:szCs w:val="32"/>
          <w:u w:val="single"/>
          <w:lang w:val="en-US" w:eastAsia="zh-CN"/>
        </w:rPr>
        <w:t xml:space="preserve"> </w:t>
      </w:r>
    </w:p>
    <w:p w14:paraId="479CC85C">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left"/>
        <w:textAlignment w:val="baseline"/>
        <w:rPr>
          <w:rFonts w:hint="default" w:ascii="仿宋_GB2312" w:hAnsi="仿宋" w:eastAsia="仿宋_GB2312" w:cs="仿宋"/>
          <w:sz w:val="30"/>
          <w:szCs w:val="30"/>
          <w:u w:val="none"/>
          <w:lang w:val="en-US" w:eastAsia="zh-CN"/>
        </w:rPr>
      </w:pPr>
      <w:r>
        <w:rPr>
          <w:rFonts w:hint="eastAsia" w:ascii="仿宋_GB2312" w:hAnsi="仿宋" w:eastAsia="仿宋_GB2312" w:cs="仿宋"/>
          <w:sz w:val="30"/>
          <w:szCs w:val="30"/>
          <w:u w:val="none"/>
          <w:lang w:val="en-US" w:eastAsia="zh-CN"/>
        </w:rPr>
        <w:t xml:space="preserve">                          </w:t>
      </w:r>
    </w:p>
    <w:p w14:paraId="0A016E25">
      <w:pPr>
        <w:tabs>
          <w:tab w:val="left" w:pos="5667"/>
        </w:tabs>
        <w:spacing w:before="104" w:line="253" w:lineRule="auto"/>
        <w:ind w:right="861" w:firstLine="3432" w:firstLineChars="1100"/>
        <w:jc w:val="both"/>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 </w:t>
      </w:r>
    </w:p>
    <w:p w14:paraId="69EEE9BF">
      <w:pPr>
        <w:tabs>
          <w:tab w:val="left" w:pos="5667"/>
        </w:tabs>
        <w:spacing w:before="104" w:line="253" w:lineRule="auto"/>
        <w:ind w:right="861" w:firstLine="3432" w:firstLineChars="1100"/>
        <w:jc w:val="both"/>
        <w:rPr>
          <w:rFonts w:hint="eastAsia" w:ascii="仿宋" w:hAnsi="仿宋" w:eastAsia="仿宋" w:cs="仿宋"/>
          <w:spacing w:val="-4"/>
          <w:sz w:val="32"/>
          <w:szCs w:val="32"/>
          <w:lang w:val="en-US" w:eastAsia="zh-CN"/>
        </w:rPr>
      </w:pPr>
    </w:p>
    <w:p w14:paraId="579AF3F0">
      <w:pPr>
        <w:tabs>
          <w:tab w:val="left" w:pos="5667"/>
        </w:tabs>
        <w:spacing w:before="104" w:line="253" w:lineRule="auto"/>
        <w:ind w:right="861" w:firstLine="3432" w:firstLineChars="1100"/>
        <w:jc w:val="both"/>
        <w:rPr>
          <w:rFonts w:hint="eastAsia" w:ascii="仿宋" w:hAnsi="仿宋" w:eastAsia="仿宋" w:cs="仿宋"/>
          <w:spacing w:val="-4"/>
          <w:sz w:val="32"/>
          <w:szCs w:val="32"/>
          <w:lang w:eastAsia="zh-CN"/>
        </w:rPr>
      </w:pPr>
    </w:p>
    <w:p w14:paraId="1A91FC4F">
      <w:pPr>
        <w:tabs>
          <w:tab w:val="left" w:pos="5667"/>
        </w:tabs>
        <w:spacing w:before="104" w:line="253" w:lineRule="auto"/>
        <w:ind w:right="861" w:firstLine="3432" w:firstLineChars="1100"/>
        <w:jc w:val="both"/>
        <w:rPr>
          <w:rFonts w:hint="eastAsia" w:ascii="仿宋" w:hAnsi="仿宋" w:eastAsia="仿宋" w:cs="仿宋"/>
          <w:spacing w:val="-4"/>
          <w:sz w:val="32"/>
          <w:szCs w:val="32"/>
          <w:lang w:eastAsia="zh-CN"/>
        </w:rPr>
      </w:pPr>
    </w:p>
    <w:p w14:paraId="35581ABB">
      <w:pPr>
        <w:tabs>
          <w:tab w:val="left" w:pos="5667"/>
        </w:tabs>
        <w:spacing w:before="104" w:line="253" w:lineRule="auto"/>
        <w:ind w:right="861" w:firstLine="3432" w:firstLineChars="1100"/>
        <w:jc w:val="both"/>
        <w:rPr>
          <w:rFonts w:hint="eastAsia" w:ascii="仿宋" w:hAnsi="仿宋" w:eastAsia="仿宋" w:cs="仿宋"/>
          <w:spacing w:val="-4"/>
          <w:sz w:val="32"/>
          <w:szCs w:val="32"/>
          <w:lang w:eastAsia="zh-CN"/>
        </w:rPr>
      </w:pPr>
    </w:p>
    <w:p w14:paraId="6B0EC63C">
      <w:pPr>
        <w:tabs>
          <w:tab w:val="left" w:pos="5667"/>
        </w:tabs>
        <w:spacing w:before="104" w:line="253" w:lineRule="auto"/>
        <w:ind w:right="861" w:firstLine="3432" w:firstLineChars="1100"/>
        <w:jc w:val="both"/>
        <w:rPr>
          <w:rFonts w:hint="eastAsia" w:ascii="仿宋" w:hAnsi="仿宋" w:eastAsia="仿宋" w:cs="仿宋"/>
          <w:spacing w:val="-4"/>
          <w:sz w:val="32"/>
          <w:szCs w:val="32"/>
          <w:lang w:eastAsia="zh-CN"/>
        </w:rPr>
      </w:pPr>
    </w:p>
    <w:p w14:paraId="46A8629E">
      <w:pPr>
        <w:tabs>
          <w:tab w:val="left" w:pos="5667"/>
        </w:tabs>
        <w:spacing w:before="104" w:line="253" w:lineRule="auto"/>
        <w:ind w:right="861" w:firstLine="3432" w:firstLineChars="1100"/>
        <w:jc w:val="both"/>
        <w:rPr>
          <w:rFonts w:hint="eastAsia" w:ascii="仿宋" w:hAnsi="仿宋" w:eastAsia="仿宋" w:cs="仿宋"/>
          <w:spacing w:val="-4"/>
          <w:sz w:val="32"/>
          <w:szCs w:val="32"/>
          <w:lang w:eastAsia="zh-CN"/>
        </w:rPr>
      </w:pPr>
    </w:p>
    <w:p w14:paraId="27D6B6DB">
      <w:pPr>
        <w:tabs>
          <w:tab w:val="left" w:pos="5667"/>
        </w:tabs>
        <w:spacing w:before="104" w:line="253" w:lineRule="auto"/>
        <w:ind w:right="861" w:firstLine="3432" w:firstLineChars="1100"/>
        <w:jc w:val="both"/>
        <w:rPr>
          <w:rFonts w:hint="eastAsia" w:ascii="仿宋" w:hAnsi="仿宋" w:eastAsia="仿宋" w:cs="仿宋"/>
          <w:spacing w:val="-4"/>
          <w:sz w:val="32"/>
          <w:szCs w:val="32"/>
          <w:lang w:eastAsia="zh-CN"/>
        </w:rPr>
      </w:pPr>
    </w:p>
    <w:p w14:paraId="2D925658">
      <w:pPr>
        <w:tabs>
          <w:tab w:val="left" w:pos="5667"/>
        </w:tabs>
        <w:spacing w:before="104" w:line="253" w:lineRule="auto"/>
        <w:ind w:right="861" w:firstLine="3432" w:firstLineChars="1100"/>
        <w:jc w:val="both"/>
        <w:rPr>
          <w:rFonts w:hint="eastAsia" w:ascii="仿宋" w:hAnsi="仿宋" w:eastAsia="仿宋" w:cs="仿宋"/>
          <w:spacing w:val="-4"/>
          <w:sz w:val="32"/>
          <w:szCs w:val="32"/>
          <w:lang w:eastAsia="zh-CN"/>
        </w:rPr>
      </w:pPr>
    </w:p>
    <w:p w14:paraId="53CDD16C">
      <w:pPr>
        <w:tabs>
          <w:tab w:val="left" w:pos="5667"/>
        </w:tabs>
        <w:spacing w:before="104" w:line="253" w:lineRule="auto"/>
        <w:ind w:right="861" w:firstLine="3432" w:firstLineChars="1100"/>
        <w:jc w:val="both"/>
        <w:rPr>
          <w:rFonts w:ascii="仿宋" w:hAnsi="仿宋" w:eastAsia="仿宋" w:cs="仿宋"/>
          <w:spacing w:val="-4"/>
          <w:sz w:val="32"/>
          <w:szCs w:val="32"/>
        </w:rPr>
      </w:pPr>
      <w:r>
        <w:rPr>
          <w:rFonts w:hint="eastAsia" w:ascii="仿宋" w:hAnsi="仿宋" w:eastAsia="仿宋" w:cs="仿宋"/>
          <w:spacing w:val="-4"/>
          <w:sz w:val="32"/>
          <w:szCs w:val="32"/>
          <w:lang w:eastAsia="zh-CN"/>
        </w:rPr>
        <w:t>策勒县</w:t>
      </w:r>
      <w:r>
        <w:rPr>
          <w:rFonts w:ascii="仿宋" w:hAnsi="仿宋" w:eastAsia="仿宋" w:cs="仿宋"/>
          <w:spacing w:val="-4"/>
          <w:sz w:val="32"/>
          <w:szCs w:val="32"/>
        </w:rPr>
        <w:t>市场监督管理局</w:t>
      </w:r>
    </w:p>
    <w:p w14:paraId="37265F6D">
      <w:pPr>
        <w:tabs>
          <w:tab w:val="left" w:pos="5667"/>
        </w:tabs>
        <w:spacing w:before="104" w:line="253" w:lineRule="auto"/>
        <w:ind w:right="861" w:firstLine="4368" w:firstLineChars="1400"/>
        <w:jc w:val="both"/>
        <w:rPr>
          <w:rFonts w:ascii="仿宋" w:hAnsi="仿宋" w:eastAsia="仿宋" w:cs="仿宋"/>
          <w:spacing w:val="-30"/>
          <w:sz w:val="32"/>
          <w:szCs w:val="32"/>
        </w:rPr>
      </w:pPr>
      <w:r>
        <w:rPr>
          <w:rFonts w:hint="eastAsia" w:ascii="仿宋" w:hAnsi="仿宋" w:eastAsia="仿宋" w:cs="仿宋"/>
          <w:spacing w:val="-4"/>
          <w:sz w:val="32"/>
          <w:szCs w:val="32"/>
          <w:lang w:eastAsia="zh-CN"/>
        </w:rPr>
        <w:t>（</w:t>
      </w:r>
      <w:r>
        <w:rPr>
          <w:rFonts w:ascii="仿宋" w:hAnsi="仿宋" w:eastAsia="仿宋" w:cs="仿宋"/>
          <w:spacing w:val="-65"/>
          <w:sz w:val="32"/>
          <w:szCs w:val="32"/>
        </w:rPr>
        <w:t xml:space="preserve"> </w:t>
      </w:r>
      <w:r>
        <w:rPr>
          <w:rFonts w:ascii="仿宋" w:hAnsi="仿宋" w:eastAsia="仿宋" w:cs="仿宋"/>
          <w:spacing w:val="-30"/>
          <w:sz w:val="32"/>
          <w:szCs w:val="32"/>
        </w:rPr>
        <w:t>印</w:t>
      </w:r>
      <w:r>
        <w:rPr>
          <w:rFonts w:ascii="仿宋" w:hAnsi="仿宋" w:eastAsia="仿宋" w:cs="仿宋"/>
          <w:spacing w:val="23"/>
          <w:sz w:val="32"/>
          <w:szCs w:val="32"/>
        </w:rPr>
        <w:t xml:space="preserve"> </w:t>
      </w:r>
      <w:r>
        <w:rPr>
          <w:rFonts w:ascii="仿宋" w:hAnsi="仿宋" w:eastAsia="仿宋" w:cs="仿宋"/>
          <w:spacing w:val="-30"/>
          <w:sz w:val="32"/>
          <w:szCs w:val="32"/>
        </w:rPr>
        <w:t>章</w:t>
      </w:r>
      <w:r>
        <w:rPr>
          <w:rFonts w:ascii="仿宋" w:hAnsi="仿宋" w:eastAsia="仿宋" w:cs="仿宋"/>
          <w:spacing w:val="-119"/>
          <w:sz w:val="32"/>
          <w:szCs w:val="32"/>
        </w:rPr>
        <w:t xml:space="preserve"> </w:t>
      </w:r>
      <w:r>
        <w:rPr>
          <w:rFonts w:ascii="仿宋" w:hAnsi="仿宋" w:eastAsia="仿宋" w:cs="仿宋"/>
          <w:spacing w:val="-30"/>
          <w:sz w:val="32"/>
          <w:szCs w:val="32"/>
        </w:rPr>
        <w:t>）</w:t>
      </w:r>
    </w:p>
    <w:p w14:paraId="48746339">
      <w:pPr>
        <w:tabs>
          <w:tab w:val="left" w:pos="5667"/>
        </w:tabs>
        <w:spacing w:before="104" w:line="253" w:lineRule="auto"/>
        <w:ind w:right="861" w:firstLine="4032" w:firstLineChars="1400"/>
        <w:jc w:val="both"/>
        <w:rPr>
          <w:rFonts w:ascii="黑体" w:hAnsi="黑体" w:eastAsia="黑体" w:cs="黑体"/>
          <w:color w:val="auto"/>
          <w:spacing w:val="-31"/>
          <w:sz w:val="32"/>
          <w:szCs w:val="32"/>
        </w:rPr>
      </w:pPr>
      <w:r>
        <w:rPr>
          <w:rFonts w:hint="eastAsia" w:ascii="仿宋" w:hAnsi="仿宋" w:eastAsia="仿宋" w:cs="仿宋"/>
          <w:color w:val="auto"/>
          <w:spacing w:val="-16"/>
          <w:sz w:val="32"/>
          <w:szCs w:val="32"/>
          <w:lang w:val="en-US" w:eastAsia="zh-CN"/>
        </w:rPr>
        <w:t>2025</w:t>
      </w:r>
      <w:r>
        <w:rPr>
          <w:rFonts w:ascii="仿宋" w:hAnsi="仿宋" w:eastAsia="仿宋" w:cs="仿宋"/>
          <w:color w:val="auto"/>
          <w:spacing w:val="-16"/>
          <w:sz w:val="32"/>
          <w:szCs w:val="32"/>
        </w:rPr>
        <w:t>年</w:t>
      </w:r>
      <w:r>
        <w:rPr>
          <w:rFonts w:hint="eastAsia" w:ascii="仿宋" w:hAnsi="仿宋" w:eastAsia="仿宋" w:cs="仿宋"/>
          <w:color w:val="auto"/>
          <w:spacing w:val="10"/>
          <w:sz w:val="32"/>
          <w:szCs w:val="32"/>
          <w:lang w:val="en-US" w:eastAsia="zh-CN"/>
        </w:rPr>
        <w:t>10</w:t>
      </w:r>
      <w:r>
        <w:rPr>
          <w:rFonts w:ascii="仿宋" w:hAnsi="仿宋" w:eastAsia="仿宋" w:cs="仿宋"/>
          <w:color w:val="auto"/>
          <w:spacing w:val="-16"/>
          <w:sz w:val="32"/>
          <w:szCs w:val="32"/>
        </w:rPr>
        <w:t>月</w:t>
      </w:r>
      <w:r>
        <w:rPr>
          <w:rFonts w:hint="eastAsia" w:ascii="仿宋" w:hAnsi="仿宋" w:eastAsia="仿宋" w:cs="仿宋"/>
          <w:color w:val="auto"/>
          <w:spacing w:val="24"/>
          <w:sz w:val="32"/>
          <w:szCs w:val="32"/>
          <w:lang w:val="en-US" w:eastAsia="zh-CN"/>
        </w:rPr>
        <w:t>18</w:t>
      </w:r>
      <w:r>
        <w:rPr>
          <w:rFonts w:ascii="仿宋" w:hAnsi="仿宋" w:eastAsia="仿宋" w:cs="仿宋"/>
          <w:color w:val="auto"/>
          <w:spacing w:val="-16"/>
          <w:sz w:val="32"/>
          <w:szCs w:val="32"/>
        </w:rPr>
        <w:t>日</w:t>
      </w:r>
    </w:p>
    <w:p w14:paraId="7AAF130E">
      <w:pPr>
        <w:spacing w:before="105" w:line="183" w:lineRule="auto"/>
        <w:ind w:firstLine="1008" w:firstLineChars="391"/>
        <w:jc w:val="both"/>
        <w:rPr>
          <w:rFonts w:ascii="黑体" w:hAnsi="黑体" w:eastAsia="黑体" w:cs="黑体"/>
          <w:color w:val="231F20"/>
          <w:spacing w:val="-31"/>
          <w:sz w:val="32"/>
          <w:szCs w:val="32"/>
        </w:rPr>
      </w:pPr>
    </w:p>
    <w:p w14:paraId="59521ECA">
      <w:pPr>
        <w:spacing w:before="105" w:line="183" w:lineRule="auto"/>
        <w:ind w:firstLine="1008" w:firstLineChars="391"/>
        <w:jc w:val="both"/>
        <w:rPr>
          <w:rFonts w:ascii="黑体" w:hAnsi="黑体" w:eastAsia="黑体" w:cs="黑体"/>
          <w:color w:val="231F20"/>
          <w:spacing w:val="-31"/>
          <w:sz w:val="32"/>
          <w:szCs w:val="32"/>
        </w:rPr>
      </w:pPr>
    </w:p>
    <w:p w14:paraId="1B71CB96">
      <w:pPr>
        <w:spacing w:before="105" w:line="183" w:lineRule="auto"/>
        <w:ind w:firstLine="1008" w:firstLineChars="391"/>
        <w:jc w:val="both"/>
        <w:rPr>
          <w:rFonts w:ascii="黑体" w:hAnsi="黑体" w:eastAsia="黑体" w:cs="黑体"/>
          <w:color w:val="231F20"/>
          <w:spacing w:val="-31"/>
          <w:sz w:val="32"/>
          <w:szCs w:val="32"/>
        </w:rPr>
      </w:pPr>
    </w:p>
    <w:p w14:paraId="388EBA77">
      <w:pPr>
        <w:spacing w:before="105" w:line="183" w:lineRule="auto"/>
        <w:ind w:firstLine="1008" w:firstLineChars="391"/>
        <w:jc w:val="both"/>
        <w:rPr>
          <w:rFonts w:ascii="黑体" w:hAnsi="黑体" w:eastAsia="黑体" w:cs="黑体"/>
          <w:color w:val="231F20"/>
          <w:spacing w:val="-31"/>
          <w:sz w:val="32"/>
          <w:szCs w:val="32"/>
        </w:rPr>
      </w:pPr>
    </w:p>
    <w:p w14:paraId="5B9EED46">
      <w:pPr>
        <w:spacing w:before="105" w:line="183" w:lineRule="auto"/>
        <w:ind w:firstLine="1008" w:firstLineChars="391"/>
        <w:jc w:val="both"/>
        <w:rPr>
          <w:rFonts w:ascii="黑体" w:hAnsi="黑体" w:eastAsia="黑体" w:cs="黑体"/>
          <w:color w:val="231F20"/>
          <w:spacing w:val="-31"/>
          <w:sz w:val="32"/>
          <w:szCs w:val="32"/>
        </w:rPr>
      </w:pPr>
    </w:p>
    <w:p w14:paraId="2E96671D">
      <w:pPr>
        <w:spacing w:before="105" w:line="183" w:lineRule="auto"/>
        <w:jc w:val="both"/>
        <w:rPr>
          <w:rFonts w:ascii="黑体" w:hAnsi="黑体" w:eastAsia="黑体" w:cs="黑体"/>
          <w:color w:val="231F20"/>
          <w:spacing w:val="-31"/>
          <w:sz w:val="32"/>
          <w:szCs w:val="32"/>
        </w:rPr>
      </w:pPr>
      <w:r>
        <w:rPr>
          <w:rFonts w:ascii="黑体" w:hAnsi="黑体" w:eastAsia="黑体" w:cs="黑体"/>
          <w:color w:val="231F20"/>
          <w:spacing w:val="-31"/>
          <w:sz w:val="32"/>
          <w:szCs w:val="32"/>
        </w:rPr>
        <w:t>（市场监督管理部门将依法向社会公开行政处罚决定信息）</w:t>
      </w:r>
    </w:p>
    <w:p w14:paraId="1AD19734">
      <w:pPr>
        <w:spacing w:line="261" w:lineRule="auto"/>
        <w:jc w:val="both"/>
        <w:rPr>
          <w:rFonts w:ascii="Malgun Gothic"/>
          <w:sz w:val="21"/>
        </w:rPr>
      </w:pPr>
    </w:p>
    <w:p w14:paraId="3B843C6F">
      <w:pPr>
        <w:spacing w:line="26" w:lineRule="exact"/>
        <w:jc w:val="both"/>
        <w:textAlignment w:val="center"/>
      </w:pPr>
      <w:r>
        <w:drawing>
          <wp:inline distT="0" distB="0" distL="0" distR="0">
            <wp:extent cx="5550535" cy="15875"/>
            <wp:effectExtent l="0" t="0" r="0" b="0"/>
            <wp:docPr id="13" name="IM 229"/>
            <wp:cNvGraphicFramePr/>
            <a:graphic xmlns:a="http://schemas.openxmlformats.org/drawingml/2006/main">
              <a:graphicData uri="http://schemas.openxmlformats.org/drawingml/2006/picture">
                <pic:pic xmlns:pic="http://schemas.openxmlformats.org/drawingml/2006/picture">
                  <pic:nvPicPr>
                    <pic:cNvPr id="13" name="IM 229"/>
                    <pic:cNvPicPr/>
                  </pic:nvPicPr>
                  <pic:blipFill>
                    <a:blip r:embed="rId8"/>
                    <a:stretch>
                      <a:fillRect/>
                    </a:stretch>
                  </pic:blipFill>
                  <pic:spPr>
                    <a:xfrm>
                      <a:off x="0" y="0"/>
                      <a:ext cx="5550535" cy="16509"/>
                    </a:xfrm>
                    <a:prstGeom prst="rect">
                      <a:avLst/>
                    </a:prstGeom>
                  </pic:spPr>
                </pic:pic>
              </a:graphicData>
            </a:graphic>
          </wp:inline>
        </w:drawing>
      </w:r>
    </w:p>
    <w:p w14:paraId="60DE4894">
      <w:pPr>
        <w:spacing w:before="106" w:line="183" w:lineRule="auto"/>
        <w:ind w:firstLine="231"/>
        <w:jc w:val="both"/>
      </w:pPr>
      <w:r>
        <w:rPr>
          <w:rFonts w:ascii="仿宋" w:hAnsi="仿宋" w:eastAsia="仿宋" w:cs="仿宋"/>
          <w:spacing w:val="-10"/>
          <w:sz w:val="32"/>
          <w:szCs w:val="32"/>
        </w:rPr>
        <w:t>本文书一式</w:t>
      </w:r>
      <w:r>
        <w:rPr>
          <w:rFonts w:hint="eastAsia" w:ascii="仿宋" w:hAnsi="仿宋" w:eastAsia="仿宋" w:cs="仿宋"/>
          <w:spacing w:val="6"/>
          <w:sz w:val="32"/>
          <w:szCs w:val="32"/>
          <w:u w:val="single" w:color="auto"/>
          <w:lang w:eastAsia="zh-CN"/>
        </w:rPr>
        <w:t>二</w:t>
      </w:r>
      <w:r>
        <w:rPr>
          <w:rFonts w:ascii="仿宋" w:hAnsi="仿宋" w:eastAsia="仿宋" w:cs="仿宋"/>
          <w:spacing w:val="6"/>
          <w:sz w:val="32"/>
          <w:szCs w:val="32"/>
          <w:u w:val="single" w:color="auto"/>
        </w:rPr>
        <w:t xml:space="preserve"> </w:t>
      </w:r>
      <w:r>
        <w:rPr>
          <w:rFonts w:ascii="仿宋" w:hAnsi="仿宋" w:eastAsia="仿宋" w:cs="仿宋"/>
          <w:spacing w:val="-10"/>
          <w:sz w:val="32"/>
          <w:szCs w:val="32"/>
        </w:rPr>
        <w:t>份，</w:t>
      </w:r>
      <w:r>
        <w:rPr>
          <w:rFonts w:hint="eastAsia" w:ascii="仿宋" w:hAnsi="仿宋" w:eastAsia="仿宋" w:cs="仿宋"/>
          <w:spacing w:val="20"/>
          <w:sz w:val="32"/>
          <w:szCs w:val="32"/>
          <w:u w:val="single" w:color="auto"/>
          <w:lang w:eastAsia="zh-CN"/>
        </w:rPr>
        <w:t>一</w:t>
      </w:r>
      <w:r>
        <w:rPr>
          <w:rFonts w:ascii="仿宋" w:hAnsi="仿宋" w:eastAsia="仿宋" w:cs="仿宋"/>
          <w:spacing w:val="20"/>
          <w:sz w:val="32"/>
          <w:szCs w:val="32"/>
          <w:u w:val="single" w:color="auto"/>
        </w:rPr>
        <w:t xml:space="preserve"> </w:t>
      </w:r>
      <w:r>
        <w:rPr>
          <w:rFonts w:ascii="仿宋" w:hAnsi="仿宋" w:eastAsia="仿宋" w:cs="仿宋"/>
          <w:spacing w:val="-10"/>
          <w:sz w:val="32"/>
          <w:szCs w:val="32"/>
        </w:rPr>
        <w:t>份送达，一份归档</w:t>
      </w:r>
      <w:r>
        <w:rPr>
          <w:rFonts w:hint="eastAsia" w:ascii="仿宋" w:hAnsi="仿宋" w:eastAsia="仿宋" w:cs="仿宋"/>
          <w:spacing w:val="-10"/>
          <w:sz w:val="32"/>
          <w:szCs w:val="32"/>
          <w:lang w:eastAsia="zh-CN"/>
        </w:rPr>
        <w:t>。</w:t>
      </w:r>
    </w:p>
    <w:sectPr>
      <w:headerReference r:id="rId5" w:type="default"/>
      <w:footerReference r:id="rId6" w:type="default"/>
      <w:pgSz w:w="11906" w:h="16838"/>
      <w:pgMar w:top="1134" w:right="1134" w:bottom="567" w:left="1701"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8A283">
    <w:pPr>
      <w:spacing w:line="196" w:lineRule="exact"/>
      <w:ind w:firstLine="219"/>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E7B86">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AAE7B86">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AF00B">
    <w:pPr>
      <w:spacing w:line="14" w:lineRule="auto"/>
      <w:rPr>
        <w:rFonts w:ascii="Malgun Gothic"/>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45C61"/>
    <w:rsid w:val="0020354E"/>
    <w:rsid w:val="00950E6E"/>
    <w:rsid w:val="00997ACE"/>
    <w:rsid w:val="021B566D"/>
    <w:rsid w:val="02591078"/>
    <w:rsid w:val="02631BC2"/>
    <w:rsid w:val="029713A7"/>
    <w:rsid w:val="03CD51B9"/>
    <w:rsid w:val="04AA466F"/>
    <w:rsid w:val="04BF33D5"/>
    <w:rsid w:val="050E00C1"/>
    <w:rsid w:val="05ED0C96"/>
    <w:rsid w:val="06803990"/>
    <w:rsid w:val="06C55AE9"/>
    <w:rsid w:val="06F839A7"/>
    <w:rsid w:val="07187AC2"/>
    <w:rsid w:val="073D391C"/>
    <w:rsid w:val="07433C79"/>
    <w:rsid w:val="0769128D"/>
    <w:rsid w:val="076E44B2"/>
    <w:rsid w:val="07B91BD0"/>
    <w:rsid w:val="08A02C10"/>
    <w:rsid w:val="08BD0C6D"/>
    <w:rsid w:val="09732D68"/>
    <w:rsid w:val="0A5B6F86"/>
    <w:rsid w:val="0B956A49"/>
    <w:rsid w:val="0C350AD1"/>
    <w:rsid w:val="0C8E0CB2"/>
    <w:rsid w:val="0D906B15"/>
    <w:rsid w:val="0DCC6095"/>
    <w:rsid w:val="0DEE013F"/>
    <w:rsid w:val="0E5D49FE"/>
    <w:rsid w:val="0E6B31A6"/>
    <w:rsid w:val="0EA83853"/>
    <w:rsid w:val="0EAB7F59"/>
    <w:rsid w:val="10B46A42"/>
    <w:rsid w:val="10D56635"/>
    <w:rsid w:val="10DD68A3"/>
    <w:rsid w:val="11374F10"/>
    <w:rsid w:val="1139142B"/>
    <w:rsid w:val="123511CB"/>
    <w:rsid w:val="12B14FE2"/>
    <w:rsid w:val="12E07B31"/>
    <w:rsid w:val="12E14BF0"/>
    <w:rsid w:val="1395790B"/>
    <w:rsid w:val="13EA4AC9"/>
    <w:rsid w:val="13F67789"/>
    <w:rsid w:val="14443094"/>
    <w:rsid w:val="14AF07CA"/>
    <w:rsid w:val="15966730"/>
    <w:rsid w:val="15AE4222"/>
    <w:rsid w:val="15B144F0"/>
    <w:rsid w:val="16452E1C"/>
    <w:rsid w:val="168A5377"/>
    <w:rsid w:val="16D16BF6"/>
    <w:rsid w:val="176170DC"/>
    <w:rsid w:val="188960FF"/>
    <w:rsid w:val="18E375DA"/>
    <w:rsid w:val="192133C9"/>
    <w:rsid w:val="1A4446E9"/>
    <w:rsid w:val="1AEF30AC"/>
    <w:rsid w:val="1B0515BA"/>
    <w:rsid w:val="1B712FCC"/>
    <w:rsid w:val="1B8C323D"/>
    <w:rsid w:val="1B984908"/>
    <w:rsid w:val="1BD0501A"/>
    <w:rsid w:val="1C8F277D"/>
    <w:rsid w:val="1CC37B1C"/>
    <w:rsid w:val="1D816202"/>
    <w:rsid w:val="1DC0744B"/>
    <w:rsid w:val="1E0D623C"/>
    <w:rsid w:val="1E5164CA"/>
    <w:rsid w:val="1EDB06C9"/>
    <w:rsid w:val="1F166BD0"/>
    <w:rsid w:val="1F6D34E7"/>
    <w:rsid w:val="20240322"/>
    <w:rsid w:val="218B7A11"/>
    <w:rsid w:val="22043500"/>
    <w:rsid w:val="23273C57"/>
    <w:rsid w:val="23B74AEA"/>
    <w:rsid w:val="2495572D"/>
    <w:rsid w:val="254C7892"/>
    <w:rsid w:val="25790382"/>
    <w:rsid w:val="25BB3177"/>
    <w:rsid w:val="2620316E"/>
    <w:rsid w:val="26AC2B2F"/>
    <w:rsid w:val="26BE3651"/>
    <w:rsid w:val="270D2EAE"/>
    <w:rsid w:val="27D809B8"/>
    <w:rsid w:val="286E29E9"/>
    <w:rsid w:val="295B435D"/>
    <w:rsid w:val="295D7A88"/>
    <w:rsid w:val="2A5230A2"/>
    <w:rsid w:val="2A816856"/>
    <w:rsid w:val="2AA75221"/>
    <w:rsid w:val="2B91102F"/>
    <w:rsid w:val="2CE60D4E"/>
    <w:rsid w:val="2D2B3C3B"/>
    <w:rsid w:val="2E167879"/>
    <w:rsid w:val="2E5513A2"/>
    <w:rsid w:val="2EB013E6"/>
    <w:rsid w:val="2ED41FDE"/>
    <w:rsid w:val="2EDD04AA"/>
    <w:rsid w:val="2F247095"/>
    <w:rsid w:val="3021541B"/>
    <w:rsid w:val="303A5939"/>
    <w:rsid w:val="303F32D5"/>
    <w:rsid w:val="31D3160B"/>
    <w:rsid w:val="32AD44FA"/>
    <w:rsid w:val="32CD21A7"/>
    <w:rsid w:val="337921E8"/>
    <w:rsid w:val="344B246E"/>
    <w:rsid w:val="34733355"/>
    <w:rsid w:val="35506FA1"/>
    <w:rsid w:val="358D4217"/>
    <w:rsid w:val="36A67E9E"/>
    <w:rsid w:val="375947FC"/>
    <w:rsid w:val="377A5AE2"/>
    <w:rsid w:val="382F5DF0"/>
    <w:rsid w:val="38322AB1"/>
    <w:rsid w:val="386D693D"/>
    <w:rsid w:val="39970AB8"/>
    <w:rsid w:val="39EA10B4"/>
    <w:rsid w:val="3A3D74DD"/>
    <w:rsid w:val="3A670909"/>
    <w:rsid w:val="3B0C6E4F"/>
    <w:rsid w:val="3BA40EB1"/>
    <w:rsid w:val="3BAC1E8C"/>
    <w:rsid w:val="3D2A017E"/>
    <w:rsid w:val="3DAA2BDE"/>
    <w:rsid w:val="3F074D92"/>
    <w:rsid w:val="3F62246A"/>
    <w:rsid w:val="3F7430DE"/>
    <w:rsid w:val="40121E30"/>
    <w:rsid w:val="405D2AE2"/>
    <w:rsid w:val="40C45C61"/>
    <w:rsid w:val="411F0E08"/>
    <w:rsid w:val="41905118"/>
    <w:rsid w:val="41BA3BE6"/>
    <w:rsid w:val="421A60F7"/>
    <w:rsid w:val="42403502"/>
    <w:rsid w:val="42FF2E4E"/>
    <w:rsid w:val="439A3200"/>
    <w:rsid w:val="43D94804"/>
    <w:rsid w:val="44535F15"/>
    <w:rsid w:val="451574E5"/>
    <w:rsid w:val="456E7914"/>
    <w:rsid w:val="459D4F1B"/>
    <w:rsid w:val="46410E60"/>
    <w:rsid w:val="4685006D"/>
    <w:rsid w:val="46AB1FE2"/>
    <w:rsid w:val="46D748F1"/>
    <w:rsid w:val="47192BAD"/>
    <w:rsid w:val="477E2A3D"/>
    <w:rsid w:val="47995F3C"/>
    <w:rsid w:val="47BC0E28"/>
    <w:rsid w:val="47ED6D58"/>
    <w:rsid w:val="485F169F"/>
    <w:rsid w:val="486B4E95"/>
    <w:rsid w:val="488978A4"/>
    <w:rsid w:val="48E847AE"/>
    <w:rsid w:val="4A20562C"/>
    <w:rsid w:val="4A282339"/>
    <w:rsid w:val="4B0C26C1"/>
    <w:rsid w:val="4B4C52A3"/>
    <w:rsid w:val="4B9121EF"/>
    <w:rsid w:val="4C210451"/>
    <w:rsid w:val="4C2A4748"/>
    <w:rsid w:val="4C713145"/>
    <w:rsid w:val="4D3E5AE9"/>
    <w:rsid w:val="4D6B3717"/>
    <w:rsid w:val="4DEF5BBF"/>
    <w:rsid w:val="4E4558D2"/>
    <w:rsid w:val="4EA93C5B"/>
    <w:rsid w:val="501F2D65"/>
    <w:rsid w:val="50F45D0F"/>
    <w:rsid w:val="519D42CC"/>
    <w:rsid w:val="53B54C5A"/>
    <w:rsid w:val="53F63AFE"/>
    <w:rsid w:val="541C35F2"/>
    <w:rsid w:val="543B0206"/>
    <w:rsid w:val="549D6B60"/>
    <w:rsid w:val="553A3AD0"/>
    <w:rsid w:val="56D63910"/>
    <w:rsid w:val="57017585"/>
    <w:rsid w:val="576365A9"/>
    <w:rsid w:val="57A8158B"/>
    <w:rsid w:val="57CB6363"/>
    <w:rsid w:val="57D74661"/>
    <w:rsid w:val="585A6661"/>
    <w:rsid w:val="58D877AA"/>
    <w:rsid w:val="58F71674"/>
    <w:rsid w:val="590627E3"/>
    <w:rsid w:val="59446AD6"/>
    <w:rsid w:val="59746B30"/>
    <w:rsid w:val="5B3539A8"/>
    <w:rsid w:val="5BA37F11"/>
    <w:rsid w:val="5BF45330"/>
    <w:rsid w:val="5C191AA1"/>
    <w:rsid w:val="5CE73D24"/>
    <w:rsid w:val="5D024BCF"/>
    <w:rsid w:val="5D297961"/>
    <w:rsid w:val="5E931651"/>
    <w:rsid w:val="5F9A679C"/>
    <w:rsid w:val="602E7ABB"/>
    <w:rsid w:val="60B30F84"/>
    <w:rsid w:val="60BC147B"/>
    <w:rsid w:val="60C17355"/>
    <w:rsid w:val="616F2787"/>
    <w:rsid w:val="62562F36"/>
    <w:rsid w:val="625D3B9C"/>
    <w:rsid w:val="637A396D"/>
    <w:rsid w:val="63AB722A"/>
    <w:rsid w:val="64683C61"/>
    <w:rsid w:val="6494772F"/>
    <w:rsid w:val="64953045"/>
    <w:rsid w:val="64E131B9"/>
    <w:rsid w:val="65D07076"/>
    <w:rsid w:val="66224C21"/>
    <w:rsid w:val="663866E1"/>
    <w:rsid w:val="66FA4E2A"/>
    <w:rsid w:val="675131EB"/>
    <w:rsid w:val="679966CE"/>
    <w:rsid w:val="67C755C8"/>
    <w:rsid w:val="67D57476"/>
    <w:rsid w:val="68030784"/>
    <w:rsid w:val="68AA238C"/>
    <w:rsid w:val="68D34CC4"/>
    <w:rsid w:val="693A33ED"/>
    <w:rsid w:val="6A432C42"/>
    <w:rsid w:val="6A4E14D4"/>
    <w:rsid w:val="6A642CDB"/>
    <w:rsid w:val="6A8111E2"/>
    <w:rsid w:val="6ADC1522"/>
    <w:rsid w:val="6B7C591E"/>
    <w:rsid w:val="6C5235F7"/>
    <w:rsid w:val="6D5A15F5"/>
    <w:rsid w:val="6D603916"/>
    <w:rsid w:val="6D836A6F"/>
    <w:rsid w:val="6DE41DA5"/>
    <w:rsid w:val="6E2C7572"/>
    <w:rsid w:val="6E66546C"/>
    <w:rsid w:val="6ECE756F"/>
    <w:rsid w:val="6F4E0124"/>
    <w:rsid w:val="6F697FB9"/>
    <w:rsid w:val="70A44CD5"/>
    <w:rsid w:val="713224D8"/>
    <w:rsid w:val="71C056CE"/>
    <w:rsid w:val="71EF187B"/>
    <w:rsid w:val="725D2AA4"/>
    <w:rsid w:val="7298218B"/>
    <w:rsid w:val="74DA5576"/>
    <w:rsid w:val="74DB484E"/>
    <w:rsid w:val="75090F3E"/>
    <w:rsid w:val="75273587"/>
    <w:rsid w:val="754D5509"/>
    <w:rsid w:val="75A2116F"/>
    <w:rsid w:val="75A6394E"/>
    <w:rsid w:val="75B30136"/>
    <w:rsid w:val="76422307"/>
    <w:rsid w:val="76B132EF"/>
    <w:rsid w:val="76D318B3"/>
    <w:rsid w:val="780E31B6"/>
    <w:rsid w:val="785D6DE6"/>
    <w:rsid w:val="79A95D32"/>
    <w:rsid w:val="7A6F7FA0"/>
    <w:rsid w:val="7B326464"/>
    <w:rsid w:val="7B3E7EE0"/>
    <w:rsid w:val="7B660754"/>
    <w:rsid w:val="7B6C432D"/>
    <w:rsid w:val="7C17555C"/>
    <w:rsid w:val="7C5D1593"/>
    <w:rsid w:val="7C947218"/>
    <w:rsid w:val="7D8F4CF7"/>
    <w:rsid w:val="7DCA5F99"/>
    <w:rsid w:val="7E6326D2"/>
    <w:rsid w:val="7F6A6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2021-07-22T01:01:00Z</dcterms:created>
  <dc:creator>Administrator</dc:creator>
  <cp:lastModifiedBy>Administrator</cp:lastModifiedBy>
  <cp:lastPrinted>2024-12-10T04:29:00Z</cp:lastPrinted>
  <dcterms:modified xsi:type="dcterms:W3CDTF">2025-10-30T08:11:53Z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80B34B9CC4C5459DAD201C24C9328ACE</vt:lpwstr>
  </property>
</Properties>
</file>